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0" w:type="dxa"/>
        <w:tblLook w:val="00A0" w:firstRow="1" w:lastRow="0" w:firstColumn="1" w:lastColumn="0" w:noHBand="0" w:noVBand="0"/>
      </w:tblPr>
      <w:tblGrid>
        <w:gridCol w:w="4755"/>
        <w:gridCol w:w="389"/>
        <w:gridCol w:w="4432"/>
        <w:gridCol w:w="324"/>
      </w:tblGrid>
      <w:tr w:rsidR="00327DAB" w:rsidTr="00327DAB" w14:paraId="540CC12E" w14:textId="77777777">
        <w:trPr>
          <w:gridAfter w:val="1"/>
          <w:wAfter w:w="324" w:type="dxa"/>
        </w:trPr>
        <w:tc>
          <w:tcPr>
            <w:tcW w:w="9576" w:type="dxa"/>
            <w:gridSpan w:val="3"/>
          </w:tcPr>
          <w:p w:rsidR="00327DAB" w:rsidRDefault="00327DAB" w14:paraId="78BBDFE4" w14:textId="7D81F1D1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 xml:space="preserve">SOAH DOCKET NO. </w:t>
            </w:r>
            <w:r w:rsidR="00F14651">
              <w:rPr>
                <w:rFonts w:eastAsia="Calibri" w:cs="Times New Roman"/>
                <w:b/>
                <w:lang w:eastAsia="zh-TW"/>
              </w:rPr>
              <w:t>473-25-15</w:t>
            </w:r>
            <w:r w:rsidR="00314D53">
              <w:rPr>
                <w:rFonts w:eastAsia="Calibri" w:cs="Times New Roman"/>
                <w:b/>
                <w:lang w:eastAsia="zh-TW"/>
              </w:rPr>
              <w:t>236</w:t>
            </w:r>
          </w:p>
          <w:p w:rsidR="00327DAB" w:rsidRDefault="00327DAB" w14:paraId="5A892B2F" w14:textId="39B7F198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PUC DOCKET NO. 578</w:t>
            </w:r>
            <w:r w:rsidR="00314D53">
              <w:rPr>
                <w:rFonts w:eastAsia="Calibri" w:cs="Times New Roman"/>
                <w:b/>
                <w:lang w:eastAsia="zh-TW"/>
              </w:rPr>
              <w:t>28</w:t>
            </w:r>
          </w:p>
          <w:p w:rsidR="00327DAB" w:rsidRDefault="00327DAB" w14:paraId="5B4A7F91" w14:textId="77777777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lang w:eastAsia="zh-TW"/>
              </w:rPr>
            </w:pPr>
          </w:p>
        </w:tc>
      </w:tr>
      <w:tr w:rsidR="00327DAB" w:rsidTr="00327DAB" w14:paraId="07EC7326" w14:textId="77777777">
        <w:trPr>
          <w:trHeight w:val="2142"/>
        </w:trPr>
        <w:tc>
          <w:tcPr>
            <w:tcW w:w="4755" w:type="dxa"/>
            <w:hideMark/>
          </w:tcPr>
          <w:p w:rsidR="00327DAB" w:rsidRDefault="00D74003" w14:paraId="085BE3F2" w14:textId="299A2F50">
            <w:pPr>
              <w:tabs>
                <w:tab w:val="center" w:pos="4680"/>
                <w:tab w:val="right" w:pos="9360"/>
              </w:tabs>
              <w:ind w:right="-120"/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</w:pPr>
            <w:r w:rsidRPr="00D7400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 xml:space="preserve">APPLICATION OF ONCOR ELECTRIC DELIVERY COMPANY LLC TO AMEND ITS CERTIFICATE OF CONVENIENCE AND NECESSITY FOR THE </w:t>
            </w:r>
            <w:r w:rsidR="00314D5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>DRILL HOLE</w:t>
            </w:r>
            <w:r w:rsidRPr="00D7400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 xml:space="preserve"> SWITCH</w:t>
            </w:r>
            <w:r w:rsidR="00314D5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>-EL CAPITAN</w:t>
            </w:r>
            <w:r w:rsidRPr="00D7400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 xml:space="preserve"> SWITCH 345</w:t>
            </w:r>
            <w:r w:rsidR="00314D5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>-</w:t>
            </w:r>
            <w:r w:rsidRPr="00D7400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 xml:space="preserve">KV TRANSMISSION LINE IN </w:t>
            </w:r>
            <w:r w:rsidR="00314D5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>CULBERSON</w:t>
            </w:r>
            <w:r w:rsidRPr="00D74003">
              <w:rPr>
                <w:rFonts w:ascii="Times New Roman Bold" w:hAnsi="Times New Roman Bold" w:eastAsia="Times New Roman" w:cs="Times New Roman"/>
                <w:b/>
                <w:bCs/>
                <w:caps/>
                <w:lang w:eastAsia="zh-TW"/>
              </w:rPr>
              <w:t xml:space="preserve"> COUNTY</w:t>
            </w:r>
          </w:p>
        </w:tc>
        <w:tc>
          <w:tcPr>
            <w:tcW w:w="389" w:type="dxa"/>
            <w:hideMark/>
          </w:tcPr>
          <w:p w:rsidR="00327DAB" w:rsidRDefault="00327DAB" w14:paraId="48447369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§</w:t>
            </w:r>
          </w:p>
          <w:p w:rsidR="00327DAB" w:rsidRDefault="00327DAB" w14:paraId="050C5B57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§</w:t>
            </w:r>
          </w:p>
          <w:p w:rsidR="00327DAB" w:rsidRDefault="00327DAB" w14:paraId="4618C410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§</w:t>
            </w:r>
          </w:p>
          <w:p w:rsidR="00327DAB" w:rsidRDefault="00327DAB" w14:paraId="3F268124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§</w:t>
            </w:r>
          </w:p>
          <w:p w:rsidR="00327DAB" w:rsidRDefault="00327DAB" w14:paraId="43350810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§</w:t>
            </w:r>
          </w:p>
          <w:p w:rsidR="00327DAB" w:rsidRDefault="00327DAB" w14:paraId="64831A50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§</w:t>
            </w:r>
          </w:p>
          <w:p w:rsidR="00327DAB" w:rsidRDefault="00327DAB" w14:paraId="14955A5D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lang w:eastAsia="zh-TW"/>
              </w:rPr>
            </w:pPr>
            <w:r>
              <w:rPr>
                <w:rFonts w:eastAsia="Calibri" w:cs="Times New Roman"/>
                <w:b/>
                <w:lang w:eastAsia="zh-TW"/>
              </w:rPr>
              <w:t>§</w:t>
            </w:r>
          </w:p>
        </w:tc>
        <w:tc>
          <w:tcPr>
            <w:tcW w:w="4756" w:type="dxa"/>
            <w:gridSpan w:val="2"/>
          </w:tcPr>
          <w:p w:rsidR="00327DAB" w:rsidRDefault="00327DAB" w14:paraId="40B85975" w14:textId="77777777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bCs/>
                <w:lang w:eastAsia="zh-TW"/>
              </w:rPr>
            </w:pPr>
            <w:r>
              <w:rPr>
                <w:rFonts w:eastAsia="Calibri" w:cs="Times New Roman"/>
                <w:b/>
                <w:bCs/>
                <w:lang w:eastAsia="zh-TW"/>
              </w:rPr>
              <w:t>BEFORE THE STATE OFFICE</w:t>
            </w:r>
          </w:p>
          <w:p w:rsidR="00327DAB" w:rsidRDefault="00327DAB" w14:paraId="7B4CB5C4" w14:textId="77777777">
            <w:pPr>
              <w:tabs>
                <w:tab w:val="center" w:pos="4680"/>
                <w:tab w:val="right" w:pos="9360"/>
              </w:tabs>
              <w:jc w:val="both"/>
              <w:rPr>
                <w:rFonts w:eastAsia="Calibri" w:cs="Times New Roman"/>
                <w:b/>
                <w:bCs/>
                <w:lang w:eastAsia="zh-TW"/>
              </w:rPr>
            </w:pPr>
          </w:p>
          <w:p w:rsidR="00327DAB" w:rsidRDefault="00327DAB" w14:paraId="48E61F5B" w14:textId="77777777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bCs/>
                <w:lang w:eastAsia="zh-TW"/>
              </w:rPr>
            </w:pPr>
          </w:p>
          <w:p w:rsidR="00327DAB" w:rsidRDefault="00327DAB" w14:paraId="3F4DC957" w14:textId="77777777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bCs/>
                <w:lang w:eastAsia="zh-TW"/>
              </w:rPr>
            </w:pPr>
            <w:r>
              <w:rPr>
                <w:rFonts w:eastAsia="Calibri" w:cs="Times New Roman"/>
                <w:b/>
                <w:bCs/>
                <w:lang w:eastAsia="zh-TW"/>
              </w:rPr>
              <w:t>OF</w:t>
            </w:r>
          </w:p>
          <w:p w:rsidR="00327DAB" w:rsidRDefault="00327DAB" w14:paraId="2631DBEF" w14:textId="77777777">
            <w:pPr>
              <w:tabs>
                <w:tab w:val="center" w:pos="4680"/>
                <w:tab w:val="right" w:pos="9360"/>
              </w:tabs>
              <w:rPr>
                <w:rFonts w:eastAsia="Calibri" w:cs="Times New Roman"/>
                <w:b/>
                <w:bCs/>
                <w:lang w:eastAsia="zh-TW"/>
              </w:rPr>
            </w:pPr>
          </w:p>
          <w:p w:rsidR="00327DAB" w:rsidRDefault="00327DAB" w14:paraId="61CF24AE" w14:textId="77777777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bCs/>
                <w:lang w:eastAsia="zh-TW"/>
              </w:rPr>
            </w:pPr>
          </w:p>
          <w:p w:rsidR="00327DAB" w:rsidRDefault="00327DAB" w14:paraId="62BF24A4" w14:textId="77777777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bCs/>
                <w:lang w:eastAsia="zh-TW"/>
              </w:rPr>
            </w:pPr>
            <w:r>
              <w:rPr>
                <w:rFonts w:eastAsia="Calibri" w:cs="Times New Roman"/>
                <w:b/>
                <w:bCs/>
                <w:lang w:eastAsia="zh-TW"/>
              </w:rPr>
              <w:t>ADMINISTRATIVE HEARINGS</w:t>
            </w:r>
          </w:p>
          <w:p w:rsidR="00327DAB" w:rsidRDefault="00327DAB" w14:paraId="59ED83F7" w14:textId="77777777">
            <w:pPr>
              <w:tabs>
                <w:tab w:val="center" w:pos="4680"/>
                <w:tab w:val="right" w:pos="9360"/>
              </w:tabs>
              <w:jc w:val="center"/>
              <w:rPr>
                <w:rFonts w:eastAsia="Calibri" w:cs="Times New Roman"/>
                <w:b/>
                <w:lang w:eastAsia="zh-TW"/>
              </w:rPr>
            </w:pPr>
          </w:p>
        </w:tc>
      </w:tr>
    </w:tbl>
    <w:p w:rsidRPr="002B6D76" w:rsidR="00327DAB" w:rsidP="002B6D76" w:rsidRDefault="0072202E" w14:paraId="150A392C" w14:textId="6B85FE5F">
      <w:pPr>
        <w:pStyle w:val="OrderTitle"/>
        <w:spacing w:before="0" w:after="0"/>
      </w:pPr>
      <w:bookmarkStart w:name="_Hlk161934328" w:id="0"/>
      <w:r>
        <w:rPr>
          <w:u w:val="single"/>
        </w:rPr>
        <w:t>UNOPPOSED</w:t>
      </w:r>
      <w:r w:rsidR="001D3B5B">
        <w:rPr>
          <w:u w:val="single"/>
        </w:rPr>
        <w:t xml:space="preserve"> </w:t>
      </w:r>
      <w:r w:rsidR="00314D53">
        <w:rPr>
          <w:u w:val="single"/>
        </w:rPr>
        <w:t xml:space="preserve">RESPONSE </w:t>
      </w:r>
      <w:r w:rsidRPr="002B6D76" w:rsidR="00F94D94">
        <w:rPr>
          <w:u w:val="single"/>
        </w:rPr>
        <w:t xml:space="preserve">to </w:t>
      </w:r>
      <w:r w:rsidR="00314D53">
        <w:rPr>
          <w:u w:val="single"/>
        </w:rPr>
        <w:t>SOAH ORDER NO. 3</w:t>
      </w:r>
      <w:bookmarkEnd w:id="0"/>
    </w:p>
    <w:p w:rsidR="00327DAB" w:rsidP="00327DAB" w:rsidRDefault="00327DAB" w14:paraId="44400196" w14:textId="77777777">
      <w:pPr>
        <w:pStyle w:val="OrderTitle"/>
        <w:spacing w:before="0" w:after="0"/>
        <w:rPr>
          <w:u w:val="single"/>
        </w:rPr>
      </w:pPr>
    </w:p>
    <w:p w:rsidR="00327DAB" w:rsidP="00327DAB" w:rsidRDefault="00327DAB" w14:paraId="66899E99" w14:textId="345C2895">
      <w:pPr>
        <w:pStyle w:val="OrderTitle"/>
        <w:spacing w:before="0" w:after="0" w:line="360" w:lineRule="auto"/>
        <w:ind w:firstLine="720"/>
        <w:jc w:val="both"/>
        <w:rPr>
          <w:rFonts w:eastAsia="Calibri"/>
          <w:b w:val="0"/>
          <w:caps w:val="0"/>
          <w:spacing w:val="0"/>
          <w:kern w:val="0"/>
          <w:lang w:eastAsia="en-US"/>
        </w:rPr>
      </w:pPr>
      <w:r>
        <w:rPr>
          <w:rFonts w:eastAsia="Calibri"/>
          <w:b w:val="0"/>
          <w:caps w:val="0"/>
          <w:spacing w:val="0"/>
          <w:kern w:val="0"/>
          <w:lang w:eastAsia="en-US"/>
        </w:rPr>
        <w:t xml:space="preserve">Oncor Electric Delivery Company LLC (“Oncor”) </w:t>
      </w:r>
      <w:r w:rsidR="00EC4ABC">
        <w:rPr>
          <w:rFonts w:eastAsia="Calibri"/>
          <w:b w:val="0"/>
          <w:caps w:val="0"/>
          <w:spacing w:val="0"/>
          <w:kern w:val="0"/>
          <w:lang w:eastAsia="en-US"/>
        </w:rPr>
        <w:t xml:space="preserve">submits </w:t>
      </w:r>
      <w:r>
        <w:rPr>
          <w:rFonts w:eastAsia="Calibri"/>
          <w:b w:val="0"/>
          <w:caps w:val="0"/>
          <w:spacing w:val="0"/>
          <w:kern w:val="0"/>
          <w:lang w:eastAsia="en-US"/>
        </w:rPr>
        <w:t>this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 xml:space="preserve"> </w:t>
      </w:r>
      <w:r w:rsidR="00E70958">
        <w:rPr>
          <w:rFonts w:eastAsia="Calibri"/>
          <w:b w:val="0"/>
          <w:caps w:val="0"/>
          <w:spacing w:val="0"/>
          <w:kern w:val="0"/>
          <w:lang w:eastAsia="en-US"/>
        </w:rPr>
        <w:t>r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 xml:space="preserve">esponse to </w:t>
      </w:r>
      <w:r w:rsidR="00E70958">
        <w:rPr>
          <w:rFonts w:eastAsia="Calibri"/>
          <w:b w:val="0"/>
          <w:caps w:val="0"/>
          <w:spacing w:val="0"/>
          <w:kern w:val="0"/>
          <w:lang w:eastAsia="en-US"/>
        </w:rPr>
        <w:t>State Office of Administrative Hearings (“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>SOAH</w:t>
      </w:r>
      <w:r w:rsidR="00E70958">
        <w:rPr>
          <w:rFonts w:eastAsia="Calibri"/>
          <w:b w:val="0"/>
          <w:caps w:val="0"/>
          <w:spacing w:val="0"/>
          <w:kern w:val="0"/>
          <w:lang w:eastAsia="en-US"/>
        </w:rPr>
        <w:t>”)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 xml:space="preserve"> Order No. 3,</w:t>
      </w:r>
      <w:r w:rsidR="00EC4ABC">
        <w:rPr>
          <w:rFonts w:eastAsia="Calibri"/>
          <w:b w:val="0"/>
          <w:caps w:val="0"/>
          <w:spacing w:val="0"/>
          <w:kern w:val="0"/>
          <w:lang w:eastAsia="en-US"/>
        </w:rPr>
        <w:t xml:space="preserve"> </w:t>
      </w:r>
      <w:r w:rsidR="00C41031">
        <w:rPr>
          <w:rFonts w:eastAsia="Calibri"/>
          <w:b w:val="0"/>
          <w:caps w:val="0"/>
          <w:spacing w:val="0"/>
          <w:kern w:val="0"/>
          <w:lang w:eastAsia="en-US"/>
        </w:rPr>
        <w:t>and respectfully requests</w:t>
      </w:r>
      <w:r w:rsidR="00EC4ABC">
        <w:rPr>
          <w:rFonts w:eastAsia="Calibri"/>
          <w:b w:val="0"/>
          <w:caps w:val="0"/>
          <w:spacing w:val="0"/>
          <w:kern w:val="0"/>
          <w:lang w:eastAsia="en-US"/>
        </w:rPr>
        <w:t xml:space="preserve"> approval of the proposed modifications to the procedural schedule </w:t>
      </w:r>
      <w:r w:rsidR="0072202E">
        <w:rPr>
          <w:rFonts w:eastAsia="Calibri"/>
          <w:b w:val="0"/>
          <w:caps w:val="0"/>
          <w:spacing w:val="0"/>
          <w:kern w:val="0"/>
          <w:lang w:eastAsia="en-US"/>
        </w:rPr>
        <w:t>pursuant to discussions</w:t>
      </w:r>
      <w:r w:rsidR="00EC4ABC">
        <w:rPr>
          <w:rFonts w:eastAsia="Calibri"/>
          <w:b w:val="0"/>
          <w:caps w:val="0"/>
          <w:spacing w:val="0"/>
          <w:kern w:val="0"/>
          <w:lang w:eastAsia="en-US"/>
        </w:rPr>
        <w:t xml:space="preserve"> </w:t>
      </w:r>
      <w:r w:rsidR="0072202E">
        <w:rPr>
          <w:rFonts w:eastAsia="Calibri"/>
          <w:b w:val="0"/>
          <w:caps w:val="0"/>
          <w:spacing w:val="0"/>
          <w:kern w:val="0"/>
          <w:lang w:eastAsia="en-US"/>
        </w:rPr>
        <w:t>involving</w:t>
      </w:r>
      <w:r w:rsidR="00F94D94">
        <w:rPr>
          <w:rFonts w:eastAsia="Calibri"/>
          <w:b w:val="0"/>
          <w:caps w:val="0"/>
          <w:spacing w:val="0"/>
          <w:kern w:val="0"/>
          <w:lang w:eastAsia="en-US"/>
        </w:rPr>
        <w:t xml:space="preserve"> 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 xml:space="preserve">Wise Asset No. 8, Ltd. (“Wise Asset”), </w:t>
      </w:r>
      <w:r w:rsidRPr="00F94D94" w:rsidR="00F94D94">
        <w:rPr>
          <w:rFonts w:eastAsia="Calibri"/>
          <w:b w:val="0"/>
          <w:caps w:val="0"/>
          <w:spacing w:val="0"/>
          <w:kern w:val="0"/>
          <w:lang w:eastAsia="en-US"/>
        </w:rPr>
        <w:t>Delaware Basin Midstream LLC</w:t>
      </w:r>
      <w:r w:rsidR="00F94D94">
        <w:rPr>
          <w:rFonts w:eastAsia="Calibri"/>
          <w:b w:val="0"/>
          <w:caps w:val="0"/>
          <w:spacing w:val="0"/>
          <w:kern w:val="0"/>
          <w:lang w:eastAsia="en-US"/>
        </w:rPr>
        <w:t xml:space="preserve"> (“DBM”), 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 xml:space="preserve">Covington Lands LP (“Covington”), </w:t>
      </w:r>
      <w:r w:rsidR="00F94D94">
        <w:rPr>
          <w:rFonts w:eastAsia="Calibri"/>
          <w:b w:val="0"/>
          <w:caps w:val="0"/>
          <w:spacing w:val="0"/>
          <w:kern w:val="0"/>
          <w:lang w:eastAsia="en-US"/>
        </w:rPr>
        <w:t xml:space="preserve"> 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 xml:space="preserve">J&amp;S Hacienda Esperanza LTD </w:t>
      </w:r>
      <w:r w:rsidR="00F94D94">
        <w:rPr>
          <w:rFonts w:eastAsia="Calibri"/>
          <w:b w:val="0"/>
          <w:caps w:val="0"/>
          <w:spacing w:val="0"/>
          <w:kern w:val="0"/>
          <w:lang w:eastAsia="en-US"/>
        </w:rPr>
        <w:t>(“</w:t>
      </w:r>
      <w:r w:rsidR="00314D53">
        <w:rPr>
          <w:rFonts w:eastAsia="Calibri"/>
          <w:b w:val="0"/>
          <w:caps w:val="0"/>
          <w:spacing w:val="0"/>
          <w:kern w:val="0"/>
          <w:lang w:eastAsia="en-US"/>
        </w:rPr>
        <w:t>J&amp;S</w:t>
      </w:r>
      <w:r w:rsidR="00F94D94">
        <w:rPr>
          <w:rFonts w:eastAsia="Calibri"/>
          <w:b w:val="0"/>
          <w:caps w:val="0"/>
          <w:spacing w:val="0"/>
          <w:kern w:val="0"/>
          <w:lang w:eastAsia="en-US"/>
        </w:rPr>
        <w:t>”),</w:t>
      </w:r>
      <w:r>
        <w:rPr>
          <w:rFonts w:eastAsia="Calibri"/>
          <w:b w:val="0"/>
          <w:caps w:val="0"/>
          <w:spacing w:val="0"/>
          <w:kern w:val="0"/>
          <w:lang w:eastAsia="en-US"/>
        </w:rPr>
        <w:t xml:space="preserve"> and </w:t>
      </w:r>
      <w:r w:rsidR="00D74003">
        <w:rPr>
          <w:rFonts w:eastAsia="Calibri"/>
          <w:b w:val="0"/>
          <w:caps w:val="0"/>
          <w:spacing w:val="0"/>
          <w:kern w:val="0"/>
          <w:lang w:eastAsia="en-US"/>
        </w:rPr>
        <w:t xml:space="preserve">the </w:t>
      </w:r>
      <w:r>
        <w:rPr>
          <w:rFonts w:eastAsia="Calibri"/>
          <w:b w:val="0"/>
          <w:caps w:val="0"/>
          <w:spacing w:val="0"/>
          <w:kern w:val="0"/>
          <w:lang w:eastAsia="en-US"/>
        </w:rPr>
        <w:t xml:space="preserve">Staff </w:t>
      </w:r>
      <w:r w:rsidRPr="00362F21">
        <w:rPr>
          <w:rFonts w:eastAsia="Calibri"/>
          <w:b w:val="0"/>
          <w:caps w:val="0"/>
          <w:spacing w:val="0"/>
          <w:kern w:val="0"/>
          <w:lang w:eastAsia="en-US"/>
        </w:rPr>
        <w:t>(“Staff”) of the Public Utility Commission of Texas (“Commission”)</w:t>
      </w:r>
      <w:r w:rsidR="00D74003">
        <w:rPr>
          <w:rFonts w:eastAsia="Calibri"/>
          <w:b w:val="0"/>
          <w:caps w:val="0"/>
          <w:spacing w:val="0"/>
          <w:kern w:val="0"/>
          <w:lang w:eastAsia="en-US"/>
        </w:rPr>
        <w:t xml:space="preserve"> </w:t>
      </w:r>
      <w:r w:rsidRPr="00362F21">
        <w:rPr>
          <w:rFonts w:eastAsia="Calibri"/>
          <w:b w:val="0"/>
          <w:caps w:val="0"/>
          <w:spacing w:val="0"/>
          <w:kern w:val="0"/>
          <w:lang w:eastAsia="en-US"/>
        </w:rPr>
        <w:t>(collectively</w:t>
      </w:r>
      <w:r>
        <w:rPr>
          <w:rFonts w:eastAsia="Calibri"/>
          <w:b w:val="0"/>
          <w:caps w:val="0"/>
          <w:spacing w:val="0"/>
          <w:kern w:val="0"/>
          <w:lang w:eastAsia="en-US"/>
        </w:rPr>
        <w:t>, the “Parties”).</w:t>
      </w:r>
      <w:r>
        <w:rPr>
          <w:rStyle w:val="FootnoteReference"/>
          <w:rFonts w:eastAsia="Calibri"/>
          <w:b w:val="0"/>
          <w:caps w:val="0"/>
          <w:spacing w:val="0"/>
          <w:kern w:val="0"/>
          <w:lang w:eastAsia="en-US"/>
        </w:rPr>
        <w:footnoteReference w:id="1"/>
      </w:r>
    </w:p>
    <w:p w:rsidR="00327DAB" w:rsidP="00327DAB" w:rsidRDefault="002263AB" w14:paraId="48963BE2" w14:textId="6BECCCCF">
      <w:pPr>
        <w:pStyle w:val="StandardL1"/>
        <w:spacing w:after="0" w:line="360" w:lineRule="auto"/>
        <w:jc w:val="center"/>
        <w:rPr>
          <w:b/>
          <w:bCs/>
        </w:rPr>
      </w:pPr>
      <w:r>
        <w:rPr>
          <w:b/>
          <w:bCs/>
        </w:rPr>
        <w:t>BACKGROUND</w:t>
      </w:r>
    </w:p>
    <w:p w:rsidR="001B02CF" w:rsidP="00ED4606" w:rsidRDefault="00233672" w14:paraId="3DDA7996" w14:textId="2F8FD718">
      <w:pPr>
        <w:pStyle w:val="StandardL1"/>
        <w:numPr>
          <w:ilvl w:val="0"/>
          <w:numId w:val="0"/>
        </w:numPr>
        <w:tabs>
          <w:tab w:val="left" w:pos="720"/>
        </w:tabs>
        <w:spacing w:after="0" w:line="360" w:lineRule="auto"/>
        <w:ind w:firstLine="720"/>
      </w:pPr>
      <w:r w:rsidRPr="00233672">
        <w:t xml:space="preserve">On April </w:t>
      </w:r>
      <w:r>
        <w:t>9</w:t>
      </w:r>
      <w:r w:rsidRPr="00233672">
        <w:t xml:space="preserve">, 2025, </w:t>
      </w:r>
      <w:r>
        <w:t>the SOAH Administrative Law Judge (“ALJ”) issued SOAH Order</w:t>
      </w:r>
      <w:r w:rsidRPr="00233672">
        <w:t xml:space="preserve"> No.</w:t>
      </w:r>
      <w:r>
        <w:t> </w:t>
      </w:r>
      <w:r w:rsidRPr="00233672">
        <w:t>2</w:t>
      </w:r>
      <w:r>
        <w:t>, which adopted the agreed procedural schedule</w:t>
      </w:r>
      <w:r w:rsidR="00BD32EF">
        <w:t xml:space="preserve"> of the parties at that time</w:t>
      </w:r>
      <w:r>
        <w:t xml:space="preserve">.  On April 17, 2025, Staff </w:t>
      </w:r>
      <w:r w:rsidR="001D3B5B">
        <w:t>recommended Oncor’s notice be found insufficient</w:t>
      </w:r>
      <w:r>
        <w:t>.</w:t>
      </w:r>
      <w:r w:rsidRPr="00233672">
        <w:t xml:space="preserve"> </w:t>
      </w:r>
      <w:r>
        <w:t xml:space="preserve"> </w:t>
      </w:r>
      <w:r w:rsidRPr="00233672">
        <w:t>Oncor subsequently took actions to cure its mailed and published notice</w:t>
      </w:r>
      <w:r w:rsidR="00C41031">
        <w:t xml:space="preserve"> </w:t>
      </w:r>
      <w:r w:rsidR="00257515">
        <w:t>in accordance with Staff’s recommendations</w:t>
      </w:r>
      <w:r w:rsidR="00C41031">
        <w:t xml:space="preserve"> by supplementing its previously mailed and published notices with a link composition</w:t>
      </w:r>
      <w:r w:rsidR="0020072F">
        <w:t xml:space="preserve"> of </w:t>
      </w:r>
      <w:r w:rsidR="00C41031">
        <w:t>filed</w:t>
      </w:r>
      <w:r w:rsidR="0020072F">
        <w:t xml:space="preserve"> route</w:t>
      </w:r>
      <w:r w:rsidR="00EC4ABC">
        <w:t>s</w:t>
      </w:r>
      <w:r w:rsidR="00C41031">
        <w:t>.  Oncor also agreed to extend the intervention deadline to</w:t>
      </w:r>
      <w:r w:rsidR="0020072F">
        <w:t xml:space="preserve"> May 21, 2025</w:t>
      </w:r>
      <w:r w:rsidRPr="00233672">
        <w:t>.</w:t>
      </w:r>
      <w:r w:rsidR="00257515">
        <w:rPr>
          <w:rStyle w:val="FootnoteReference"/>
        </w:rPr>
        <w:footnoteReference w:id="2"/>
      </w:r>
      <w:r w:rsidRPr="00233672">
        <w:t xml:space="preserve">  </w:t>
      </w:r>
      <w:r w:rsidR="00481349">
        <w:t xml:space="preserve"> </w:t>
      </w:r>
      <w:r w:rsidR="00BF0DC6">
        <w:t xml:space="preserve">In </w:t>
      </w:r>
      <w:r w:rsidRPr="00233672">
        <w:t>SOAH Order No. 3</w:t>
      </w:r>
      <w:r w:rsidR="00BF0DC6">
        <w:t>, issued May 1, 2025, the SOAH ALJ</w:t>
      </w:r>
      <w:r w:rsidR="002B6879">
        <w:t xml:space="preserve"> adopted the</w:t>
      </w:r>
      <w:r w:rsidRPr="00233672">
        <w:t xml:space="preserve"> extended intervention deadline </w:t>
      </w:r>
      <w:r w:rsidR="00BF0DC6">
        <w:t>and</w:t>
      </w:r>
      <w:r w:rsidRPr="00233672">
        <w:t xml:space="preserve"> instructed the </w:t>
      </w:r>
      <w:r w:rsidR="002B6879">
        <w:t>Oncor to confer with the Parties and</w:t>
      </w:r>
      <w:r w:rsidR="00BD32EF">
        <w:t xml:space="preserve"> </w:t>
      </w:r>
      <w:r w:rsidRPr="00233672">
        <w:t xml:space="preserve">file proposed modifications to the procedural schedule by May </w:t>
      </w:r>
      <w:r w:rsidR="00257515">
        <w:t>8</w:t>
      </w:r>
      <w:r w:rsidR="00064109">
        <w:t>, 2025</w:t>
      </w:r>
      <w:r w:rsidRPr="00233672">
        <w:t>.</w:t>
      </w:r>
      <w:r w:rsidR="00257515">
        <w:rPr>
          <w:rStyle w:val="FootnoteReference"/>
        </w:rPr>
        <w:footnoteReference w:id="3"/>
      </w:r>
      <w:r w:rsidRPr="00233672">
        <w:t xml:space="preserve"> </w:t>
      </w:r>
      <w:r w:rsidR="00257515">
        <w:t xml:space="preserve"> </w:t>
      </w:r>
      <w:r w:rsidR="0067115B">
        <w:t xml:space="preserve">No new intervention requests have been </w:t>
      </w:r>
      <w:r w:rsidR="00064109">
        <w:t>filed</w:t>
      </w:r>
      <w:r w:rsidR="0067115B">
        <w:t xml:space="preserve"> since Oncor </w:t>
      </w:r>
      <w:r w:rsidR="002B6879">
        <w:t xml:space="preserve">provided the </w:t>
      </w:r>
      <w:r w:rsidR="0067115B">
        <w:t xml:space="preserve">supplemental notice.  </w:t>
      </w:r>
    </w:p>
    <w:p w:rsidRPr="00362F21" w:rsidR="00E21BCD" w:rsidP="00ED4606" w:rsidRDefault="00E21BCD" w14:paraId="381456BD" w14:textId="77777777">
      <w:pPr>
        <w:pStyle w:val="StandardL1"/>
        <w:numPr>
          <w:ilvl w:val="0"/>
          <w:numId w:val="0"/>
        </w:numPr>
        <w:tabs>
          <w:tab w:val="left" w:pos="720"/>
        </w:tabs>
        <w:spacing w:after="0" w:line="360" w:lineRule="auto"/>
        <w:ind w:firstLine="720"/>
      </w:pPr>
    </w:p>
    <w:p w:rsidR="001B02CF" w:rsidP="00ED4606" w:rsidRDefault="0072202E" w14:paraId="68A838EB" w14:textId="588D111B">
      <w:pPr>
        <w:pStyle w:val="StandardL1"/>
        <w:spacing w:after="0"/>
        <w:jc w:val="center"/>
        <w:rPr>
          <w:b/>
          <w:bCs/>
        </w:rPr>
      </w:pPr>
      <w:r>
        <w:rPr>
          <w:b/>
          <w:bCs/>
        </w:rPr>
        <w:lastRenderedPageBreak/>
        <w:t>UNOPPOSED</w:t>
      </w:r>
      <w:r w:rsidR="00B04281">
        <w:rPr>
          <w:b/>
          <w:bCs/>
        </w:rPr>
        <w:t xml:space="preserve"> MOTION </w:t>
      </w:r>
      <w:r w:rsidR="00481349">
        <w:rPr>
          <w:b/>
          <w:bCs/>
        </w:rPr>
        <w:t xml:space="preserve">TO </w:t>
      </w:r>
      <w:r w:rsidR="00B04281">
        <w:rPr>
          <w:b/>
          <w:bCs/>
        </w:rPr>
        <w:t>AMEND</w:t>
      </w:r>
      <w:r w:rsidR="00481349">
        <w:rPr>
          <w:b/>
          <w:bCs/>
        </w:rPr>
        <w:t xml:space="preserve"> THE PROCEDURAL SCHEDULE</w:t>
      </w:r>
    </w:p>
    <w:p w:rsidR="00ED4606" w:rsidP="00ED4606" w:rsidRDefault="00ED4606" w14:paraId="2277833C" w14:textId="77777777">
      <w:pPr>
        <w:pStyle w:val="StandardL1"/>
        <w:numPr>
          <w:ilvl w:val="0"/>
          <w:numId w:val="0"/>
        </w:numPr>
        <w:spacing w:after="0"/>
        <w:ind w:left="720"/>
        <w:rPr>
          <w:b/>
          <w:bCs/>
        </w:rPr>
      </w:pPr>
    </w:p>
    <w:p w:rsidR="006A161D" w:rsidP="003B0526" w:rsidRDefault="0072202E" w14:paraId="3CC6E4B0" w14:textId="184EE750">
      <w:pPr>
        <w:pStyle w:val="BodyText"/>
        <w:spacing w:after="0" w:line="360" w:lineRule="auto"/>
        <w:ind w:firstLine="720"/>
        <w:jc w:val="both"/>
      </w:pPr>
      <w:r>
        <w:t xml:space="preserve">Pursuant to discussions between the Parties, the Parties agree to or do not oppose </w:t>
      </w:r>
      <w:r w:rsidR="001D3B5B">
        <w:t>the following modifications to the procedural schedule</w:t>
      </w:r>
      <w:r w:rsidR="00A46C73">
        <w:t>: (1)</w:t>
      </w:r>
      <w:r w:rsidR="00481349">
        <w:t> </w:t>
      </w:r>
      <w:r w:rsidR="00A46C73">
        <w:t>intervenors</w:t>
      </w:r>
      <w:r w:rsidR="00481349">
        <w:t xml:space="preserve">, including </w:t>
      </w:r>
      <w:r w:rsidR="00A96D28">
        <w:t>those</w:t>
      </w:r>
      <w:r w:rsidR="00481349">
        <w:t xml:space="preserve"> who have already filed testimony or a statement of position,</w:t>
      </w:r>
      <w:r w:rsidR="00A46C73">
        <w:t xml:space="preserve"> may file </w:t>
      </w:r>
      <w:r w:rsidR="00481349">
        <w:t xml:space="preserve">new, </w:t>
      </w:r>
      <w:r w:rsidR="00B6016D">
        <w:t>amended</w:t>
      </w:r>
      <w:r w:rsidR="00481349">
        <w:t xml:space="preserve">, or supplemental </w:t>
      </w:r>
      <w:r w:rsidR="00A46C73">
        <w:t>direct testimony or statement</w:t>
      </w:r>
      <w:r w:rsidR="00481349">
        <w:t>s</w:t>
      </w:r>
      <w:r w:rsidR="00A46C73">
        <w:t xml:space="preserve"> of position </w:t>
      </w:r>
      <w:r w:rsidR="00B6016D">
        <w:t xml:space="preserve">until </w:t>
      </w:r>
      <w:r w:rsidR="00A46C73">
        <w:t>May 21, 2025</w:t>
      </w:r>
      <w:r w:rsidR="00786BD6">
        <w:t>; (</w:t>
      </w:r>
      <w:r w:rsidR="004A6FCA">
        <w:t>2</w:t>
      </w:r>
      <w:r w:rsidR="00786BD6">
        <w:t>)</w:t>
      </w:r>
      <w:r w:rsidR="00B6016D">
        <w:t> </w:t>
      </w:r>
      <w:r w:rsidR="00786BD6">
        <w:t>Oncor</w:t>
      </w:r>
      <w:r w:rsidR="00B6016D">
        <w:t xml:space="preserve"> will file rebuttal testimony by May 21, 2025, and</w:t>
      </w:r>
      <w:r w:rsidR="00786BD6">
        <w:t xml:space="preserve"> will have three business days to file supplemental rebuttal testimony</w:t>
      </w:r>
      <w:r w:rsidR="004A6FCA">
        <w:t xml:space="preserve"> in response to </w:t>
      </w:r>
      <w:r w:rsidR="0020072F">
        <w:t xml:space="preserve">any </w:t>
      </w:r>
      <w:r w:rsidR="00A96D28">
        <w:t>intervenor</w:t>
      </w:r>
      <w:r w:rsidR="004A6FCA">
        <w:t xml:space="preserve"> testimony filed </w:t>
      </w:r>
      <w:r w:rsidR="00E778B0">
        <w:t>after May 16</w:t>
      </w:r>
      <w:r w:rsidR="004A6FCA">
        <w:t>, 2025</w:t>
      </w:r>
      <w:r w:rsidR="00E778B0">
        <w:t xml:space="preserve">; and (3) deadlines for discovery on </w:t>
      </w:r>
      <w:r w:rsidR="002B6879">
        <w:t xml:space="preserve">any </w:t>
      </w:r>
      <w:r w:rsidR="00E778B0">
        <w:t>Oncor rebuttal testimony</w:t>
      </w:r>
      <w:r w:rsidR="002B6879">
        <w:t xml:space="preserve"> filed after May 21</w:t>
      </w:r>
      <w:r w:rsidR="00E778B0">
        <w:t xml:space="preserve"> will be extended </w:t>
      </w:r>
      <w:r w:rsidR="0020072F">
        <w:t>to May 26, 2025</w:t>
      </w:r>
      <w:r w:rsidR="00786BD6">
        <w:t xml:space="preserve">.  </w:t>
      </w:r>
      <w:r w:rsidR="004A6FCA">
        <w:t xml:space="preserve">If additional intervention requests </w:t>
      </w:r>
      <w:r w:rsidR="00E778B0">
        <w:t>are timely filed</w:t>
      </w:r>
      <w:r w:rsidR="004A6FCA">
        <w:t xml:space="preserve">, the Parties, including any new intervenors, will </w:t>
      </w:r>
      <w:r w:rsidR="00B6016D">
        <w:t>reassess</w:t>
      </w:r>
      <w:r w:rsidR="004A6FCA">
        <w:t xml:space="preserve"> whether </w:t>
      </w:r>
      <w:r w:rsidR="00A96D28">
        <w:t>further modification</w:t>
      </w:r>
      <w:r w:rsidR="002B6879">
        <w:t>s</w:t>
      </w:r>
      <w:r w:rsidR="00A96D28">
        <w:t xml:space="preserve"> </w:t>
      </w:r>
      <w:r w:rsidR="002B6879">
        <w:t>to</w:t>
      </w:r>
      <w:r w:rsidR="004A6FCA">
        <w:t xml:space="preserve"> the procedural schedule and/or discovery timelines </w:t>
      </w:r>
      <w:r w:rsidR="002B6879">
        <w:t>are</w:t>
      </w:r>
      <w:r w:rsidR="004A6FCA">
        <w:t xml:space="preserve"> needed prior to the hearing on the merits </w:t>
      </w:r>
      <w:r w:rsidR="00E778B0">
        <w:t>on</w:t>
      </w:r>
      <w:r w:rsidR="004A6FCA">
        <w:t xml:space="preserve"> May 29-30, 2025.</w:t>
      </w:r>
    </w:p>
    <w:p w:rsidR="00327DAB" w:rsidP="002B6D76" w:rsidRDefault="0067115B" w14:paraId="305B454D" w14:textId="3C9A8546">
      <w:pPr>
        <w:pStyle w:val="BodyText"/>
        <w:spacing w:after="0" w:line="360" w:lineRule="auto"/>
        <w:ind w:firstLine="720"/>
        <w:jc w:val="both"/>
      </w:pPr>
      <w:r>
        <w:t xml:space="preserve">Under PURA § 37.057, the Commission must render a decision on Oncor’s application </w:t>
      </w:r>
      <w:r w:rsidR="00064109">
        <w:t>by</w:t>
      </w:r>
      <w:r>
        <w:t xml:space="preserve"> September 16, 2025.  </w:t>
      </w:r>
      <w:r w:rsidR="002B6879">
        <w:t xml:space="preserve">This statutory deadline and the post-hearing timelines prescribed in SOAH Order No. 1 </w:t>
      </w:r>
      <w:r w:rsidR="0061733E">
        <w:t>do not allow for</w:t>
      </w:r>
      <w:r w:rsidR="002B6879">
        <w:t xml:space="preserve"> </w:t>
      </w:r>
      <w:r w:rsidR="0061733E">
        <w:t xml:space="preserve">any delay in the hearing on the merits.  Thus, </w:t>
      </w:r>
      <w:r w:rsidR="0072202E">
        <w:t>Oncor presents</w:t>
      </w:r>
      <w:r w:rsidR="0061733E">
        <w:t xml:space="preserve"> the following </w:t>
      </w:r>
      <w:r>
        <w:t>proposed modifications</w:t>
      </w:r>
      <w:r w:rsidR="0061733E">
        <w:t xml:space="preserve"> to the procedural schedule, which balance the Parties’ desire for a</w:t>
      </w:r>
      <w:r w:rsidR="00B04281">
        <w:t xml:space="preserve"> timely resolution of this </w:t>
      </w:r>
      <w:r w:rsidR="00E778B0">
        <w:t xml:space="preserve">matter </w:t>
      </w:r>
      <w:r w:rsidR="0061733E">
        <w:t>with the need to accommodate</w:t>
      </w:r>
      <w:r w:rsidR="00B04281">
        <w:t xml:space="preserve"> </w:t>
      </w:r>
      <w:r w:rsidR="0061733E">
        <w:t xml:space="preserve">the participation of </w:t>
      </w:r>
      <w:r w:rsidR="00B04281">
        <w:t>potential future intervenors.</w:t>
      </w:r>
      <w:r w:rsidR="00E778B0">
        <w:t xml:space="preserve">  If no </w:t>
      </w:r>
      <w:r w:rsidR="0061733E">
        <w:t>new</w:t>
      </w:r>
      <w:r w:rsidR="00E778B0">
        <w:t xml:space="preserve"> parties intervene, the May 21, 2025 intervention deadline will not adversely affect any </w:t>
      </w:r>
      <w:r w:rsidR="0061733E">
        <w:t xml:space="preserve">Party’s </w:t>
      </w:r>
      <w:r w:rsidR="00E778B0">
        <w:t xml:space="preserve">interests, and there </w:t>
      </w:r>
      <w:r w:rsidR="0061733E">
        <w:t xml:space="preserve">will be </w:t>
      </w:r>
      <w:r w:rsidR="00E778B0">
        <w:t xml:space="preserve">no good cause to extend </w:t>
      </w:r>
      <w:r w:rsidR="0061733E">
        <w:t>additional</w:t>
      </w:r>
      <w:r w:rsidR="00E778B0">
        <w:t xml:space="preserve"> deadlines.</w:t>
      </w:r>
      <w:r w:rsidR="00B04281">
        <w:t xml:space="preserve">  </w:t>
      </w:r>
      <w:r w:rsidR="00CD61FA">
        <w:t>I</w:t>
      </w:r>
      <w:r w:rsidR="002263AB">
        <w:t xml:space="preserve">f </w:t>
      </w:r>
      <w:r w:rsidR="00CD61FA">
        <w:t xml:space="preserve">a </w:t>
      </w:r>
      <w:r w:rsidR="002263AB">
        <w:t xml:space="preserve">new </w:t>
      </w:r>
      <w:r w:rsidR="00890447">
        <w:t>party timely intervenes</w:t>
      </w:r>
      <w:r w:rsidR="002263AB">
        <w:t xml:space="preserve">, the Parties </w:t>
      </w:r>
      <w:r w:rsidR="003F1EAD">
        <w:t xml:space="preserve">acknowledge the </w:t>
      </w:r>
      <w:r w:rsidRPr="00B71977" w:rsidR="003F1EAD">
        <w:rPr>
          <w:i/>
          <w:iCs/>
        </w:rPr>
        <w:t>potential</w:t>
      </w:r>
      <w:r w:rsidR="003F1EAD">
        <w:t xml:space="preserve"> need to </w:t>
      </w:r>
      <w:r w:rsidR="00E778B0">
        <w:t xml:space="preserve">further </w:t>
      </w:r>
      <w:r w:rsidR="00890447">
        <w:t>modify</w:t>
      </w:r>
      <w:r w:rsidR="003F1EAD">
        <w:t xml:space="preserve"> the procedural schedule</w:t>
      </w:r>
      <w:r w:rsidR="0020072F">
        <w:t>.</w:t>
      </w:r>
      <w:r w:rsidR="00E778B0">
        <w:t xml:space="preserve">  Until then,</w:t>
      </w:r>
      <w:r w:rsidR="002263AB">
        <w:t xml:space="preserve"> </w:t>
      </w:r>
      <w:r w:rsidR="00890447">
        <w:t xml:space="preserve">it is </w:t>
      </w:r>
      <w:r w:rsidR="002263AB">
        <w:t>premature</w:t>
      </w:r>
      <w:r w:rsidR="00BC61EE">
        <w:t xml:space="preserve"> to</w:t>
      </w:r>
      <w:r w:rsidR="002263AB">
        <w:t xml:space="preserve"> </w:t>
      </w:r>
      <w:r w:rsidR="0020072F">
        <w:t xml:space="preserve">extend </w:t>
      </w:r>
      <w:r w:rsidR="0061733E">
        <w:t>any</w:t>
      </w:r>
      <w:r w:rsidR="0020072F">
        <w:t xml:space="preserve"> deadlines</w:t>
      </w:r>
      <w:r w:rsidR="003F1EAD">
        <w:t xml:space="preserve"> </w:t>
      </w:r>
      <w:r w:rsidR="00B6016D">
        <w:t>b</w:t>
      </w:r>
      <w:r w:rsidR="0020072F">
        <w:t>e</w:t>
      </w:r>
      <w:r w:rsidR="00B6016D">
        <w:t xml:space="preserve">yond </w:t>
      </w:r>
      <w:r w:rsidR="0061733E">
        <w:t>those</w:t>
      </w:r>
      <w:r w:rsidR="00B6016D">
        <w:t xml:space="preserve"> </w:t>
      </w:r>
      <w:r w:rsidR="007567A9">
        <w:t>laid out below</w:t>
      </w:r>
      <w:r w:rsidR="004F70CD">
        <w:t>,</w:t>
      </w:r>
      <w:r w:rsidR="00B6016D">
        <w:t xml:space="preserve"> which satisfy the requirements of PURA § 37.057 and SOAH Order No. 1</w:t>
      </w:r>
      <w:r w:rsidR="00407311">
        <w:t>.</w:t>
      </w:r>
    </w:p>
    <w:p w:rsidR="00F96853" w:rsidP="00CD61FA" w:rsidRDefault="0072202E" w14:paraId="69B99F9B" w14:textId="17BD608B">
      <w:pPr>
        <w:pStyle w:val="StandardL1"/>
        <w:spacing w:after="0" w:line="360" w:lineRule="auto"/>
        <w:jc w:val="center"/>
        <w:rPr>
          <w:b/>
          <w:bCs/>
        </w:rPr>
      </w:pPr>
      <w:r>
        <w:rPr>
          <w:b/>
          <w:bCs/>
        </w:rPr>
        <w:t>UNOPPOSED</w:t>
      </w:r>
      <w:r w:rsidRPr="00F96853" w:rsidR="00F96853">
        <w:rPr>
          <w:b/>
          <w:bCs/>
        </w:rPr>
        <w:t xml:space="preserve"> </w:t>
      </w:r>
      <w:r w:rsidR="00F96853">
        <w:rPr>
          <w:b/>
          <w:bCs/>
        </w:rPr>
        <w:t xml:space="preserve">AMENDED </w:t>
      </w:r>
      <w:r w:rsidRPr="00F96853" w:rsidR="00F96853">
        <w:rPr>
          <w:b/>
          <w:bCs/>
        </w:rPr>
        <w:t>PROCEDURAL SCHEDULE</w:t>
      </w:r>
    </w:p>
    <w:p w:rsidR="004F70CD" w:rsidP="004F70CD" w:rsidRDefault="00233672" w14:paraId="2E8079F6" w14:textId="60F006B2">
      <w:pPr>
        <w:pStyle w:val="StandardL1"/>
        <w:numPr>
          <w:ilvl w:val="0"/>
          <w:numId w:val="0"/>
        </w:numPr>
        <w:spacing w:after="0" w:line="360" w:lineRule="auto"/>
        <w:ind w:firstLine="720"/>
      </w:pPr>
      <w:bookmarkStart w:name="_Hlk168414571" w:id="1"/>
      <w:r>
        <w:t>Oncor respectfully</w:t>
      </w:r>
      <w:r w:rsidRPr="004F70CD" w:rsidR="004F70CD">
        <w:t xml:space="preserve"> request</w:t>
      </w:r>
      <w:r>
        <w:t>s</w:t>
      </w:r>
      <w:r w:rsidRPr="004F70CD" w:rsidR="004F70CD">
        <w:t xml:space="preserve"> that the SOAH ALJ adopt the following </w:t>
      </w:r>
      <w:r w:rsidR="0061733E">
        <w:t>modifications to the</w:t>
      </w:r>
      <w:r w:rsidRPr="004F70CD" w:rsidR="0061733E">
        <w:t xml:space="preserve"> </w:t>
      </w:r>
      <w:r w:rsidRPr="004F70CD" w:rsidR="004F70CD">
        <w:t xml:space="preserve">procedural </w:t>
      </w:r>
      <w:bookmarkEnd w:id="1"/>
      <w:r w:rsidRPr="004F70CD" w:rsidR="004F70CD">
        <w:t>schedule</w:t>
      </w:r>
      <w:r>
        <w:t xml:space="preserve">, which </w:t>
      </w:r>
      <w:r w:rsidR="00A1435C">
        <w:t>reflect the</w:t>
      </w:r>
      <w:r>
        <w:t xml:space="preserve"> </w:t>
      </w:r>
      <w:r w:rsidR="0072202E">
        <w:t>unopposed results of discussions</w:t>
      </w:r>
      <w:r w:rsidR="000E2CAE">
        <w:t xml:space="preserve"> between</w:t>
      </w:r>
      <w:r>
        <w:t xml:space="preserve"> the Parties</w:t>
      </w:r>
      <w:r w:rsidR="004F70CD">
        <w:t>:</w:t>
      </w:r>
    </w:p>
    <w:tbl>
      <w:tblPr>
        <w:tblStyle w:val="TableGrid11"/>
        <w:tblW w:w="9350" w:type="dxa"/>
        <w:jc w:val="center"/>
        <w:tblInd w:w="0" w:type="dxa"/>
        <w:tblLook w:val="04A0" w:firstRow="1" w:lastRow="0" w:firstColumn="1" w:lastColumn="0" w:noHBand="0" w:noVBand="1"/>
      </w:tblPr>
      <w:tblGrid>
        <w:gridCol w:w="2065"/>
        <w:gridCol w:w="7285"/>
      </w:tblGrid>
      <w:tr w:rsidR="00A46C73" w:rsidTr="00B33ED9" w14:paraId="3CAF02CC" w14:textId="77777777">
        <w:trPr>
          <w:trHeight w:val="530"/>
          <w:tblHeader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A46C73" w:rsidP="00B33ED9" w:rsidRDefault="00A46C73" w14:paraId="3F52CC52" w14:textId="77777777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A46C73" w:rsidP="00B33ED9" w:rsidRDefault="00A46C73" w14:paraId="66754A44" w14:textId="77777777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</w:tr>
      <w:tr w:rsidR="00A46C73" w:rsidTr="00B33ED9" w14:paraId="4B3395BE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46C73" w:rsidP="00B33ED9" w:rsidRDefault="00233672" w14:paraId="6CF817F8" w14:textId="38BAC5E9">
            <w:pPr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</w:rPr>
              <w:t>May</w:t>
            </w:r>
            <w:r w:rsidR="00A46C73">
              <w:rPr>
                <w:b/>
                <w:bCs/>
                <w:color w:val="000000" w:themeColor="text1"/>
              </w:rPr>
              <w:t xml:space="preserve"> 21, 2025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46C73" w:rsidP="00B33ED9" w:rsidRDefault="00A46C73" w14:paraId="04BC69CD" w14:textId="327BC75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Intervention Deadline (per </w:t>
            </w:r>
            <w:r w:rsidR="00233672">
              <w:rPr>
                <w:b/>
                <w:bCs/>
              </w:rPr>
              <w:t xml:space="preserve">SOAH Order No. </w:t>
            </w:r>
            <w:r w:rsidR="0061733E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</w:tr>
      <w:tr w:rsidR="00A46C73" w:rsidTr="00B33ED9" w14:paraId="46C9F553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46C73" w:rsidP="00B33ED9" w:rsidRDefault="00A1435C" w14:paraId="150483AD" w14:textId="7EDB7E0B">
            <w:r>
              <w:t>May 21,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46C73" w:rsidP="00B33ED9" w:rsidRDefault="00A46C73" w14:paraId="693C3BAB" w14:textId="73F12ADA">
            <w:r>
              <w:t xml:space="preserve">Deadline </w:t>
            </w:r>
            <w:r w:rsidR="00A1435C">
              <w:t>for Intervenor Direct Testimony</w:t>
            </w:r>
            <w:r w:rsidR="00DD5C12">
              <w:t xml:space="preserve">, including </w:t>
            </w:r>
            <w:r w:rsidR="0061733E">
              <w:t>Amended</w:t>
            </w:r>
            <w:r w:rsidR="00DD5C12">
              <w:t>/Supplemental Direct Testimony</w:t>
            </w:r>
          </w:p>
        </w:tc>
      </w:tr>
      <w:tr w:rsidR="00A1435C" w:rsidTr="00B33ED9" w14:paraId="2110A9DD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4CD541B3" w14:textId="7C3384D6">
            <w:r>
              <w:rPr>
                <w:b/>
                <w:bCs/>
                <w:color w:val="000000" w:themeColor="text1"/>
              </w:rPr>
              <w:t>May 21,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2C4653FC" w14:textId="19F9DB75">
            <w:r>
              <w:rPr>
                <w:b/>
                <w:bCs/>
                <w:color w:val="000000" w:themeColor="text1"/>
              </w:rPr>
              <w:t>Applicant’s Rebuttal Testimony Deadline (for intervenor testimony filed by May 16, 2025</w:t>
            </w:r>
            <w:r w:rsidR="00DD5C12">
              <w:rPr>
                <w:b/>
                <w:bCs/>
                <w:color w:val="000000" w:themeColor="text1"/>
              </w:rPr>
              <w:t>; for intervenor testimony filed after May 16, 2025, Oncor will have three business days to file rebuttal</w:t>
            </w:r>
            <w:r w:rsidR="00064109">
              <w:rPr>
                <w:b/>
                <w:bCs/>
                <w:color w:val="000000" w:themeColor="text1"/>
              </w:rPr>
              <w:t xml:space="preserve"> and/or supplemental rebuttal</w:t>
            </w:r>
            <w:r>
              <w:rPr>
                <w:b/>
                <w:bCs/>
                <w:color w:val="000000" w:themeColor="text1"/>
              </w:rPr>
              <w:t>)</w:t>
            </w:r>
          </w:p>
        </w:tc>
      </w:tr>
      <w:tr w:rsidR="00A1435C" w:rsidTr="00B33ED9" w14:paraId="070081C2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1751496C" w14:textId="6F0B0A8F">
            <w:r>
              <w:rPr>
                <w:color w:val="000000" w:themeColor="text1"/>
              </w:rPr>
              <w:lastRenderedPageBreak/>
              <w:t>May 23,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247A6850" w14:textId="3F833633">
            <w:r>
              <w:rPr>
                <w:color w:val="000000" w:themeColor="text1"/>
              </w:rPr>
              <w:t>Deadline to Object to Applicant’s Rebuttal Testimony</w:t>
            </w:r>
            <w:r w:rsidR="00DD5C12">
              <w:rPr>
                <w:color w:val="000000" w:themeColor="text1"/>
              </w:rPr>
              <w:t xml:space="preserve"> (for rebuttal filed by May 21, 2025; for rebuttal filed after May 21, 2025, parties will have two business days to object)</w:t>
            </w:r>
          </w:p>
        </w:tc>
      </w:tr>
      <w:tr w:rsidR="00A1435C" w:rsidTr="00B33ED9" w14:paraId="3EC3EF3C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397EA7E6" w14:textId="1C26C2B9">
            <w:r>
              <w:rPr>
                <w:color w:val="000000" w:themeColor="text1"/>
              </w:rPr>
              <w:t>May 23,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4AFBF3C7" w14:textId="1C35BABB">
            <w:pPr>
              <w:rPr>
                <w:bCs/>
              </w:rPr>
            </w:pPr>
            <w:r>
              <w:rPr>
                <w:color w:val="000000" w:themeColor="text1"/>
              </w:rPr>
              <w:t>Deadline to Serve Discovery on Applicant’s Rebuttal Testimony</w:t>
            </w:r>
            <w:r w:rsidR="00DD5C12">
              <w:rPr>
                <w:color w:val="000000" w:themeColor="text1"/>
              </w:rPr>
              <w:t xml:space="preserve"> (for rebuttal filed by May 21, 2025; for rebuttal filed after May 21, 2025, parties will have </w:t>
            </w:r>
            <w:r w:rsidR="005001D8">
              <w:rPr>
                <w:color w:val="000000" w:themeColor="text1"/>
              </w:rPr>
              <w:t>until May 26, 2025,</w:t>
            </w:r>
            <w:r w:rsidR="00DD5C12">
              <w:rPr>
                <w:color w:val="000000" w:themeColor="text1"/>
              </w:rPr>
              <w:t xml:space="preserve"> to serve discovery)</w:t>
            </w:r>
          </w:p>
        </w:tc>
      </w:tr>
      <w:tr w:rsidR="00A1435C" w:rsidTr="00B33ED9" w14:paraId="777940CB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7DBDB7BF" w14:textId="244EC5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May 28,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723F0A40" w14:textId="0A21B625">
            <w:r>
              <w:rPr>
                <w:color w:val="000000" w:themeColor="text1"/>
              </w:rPr>
              <w:t>Applicant’s Deadline to Respond to Discovery on Applicant’s Rebuttal Testimony</w:t>
            </w:r>
          </w:p>
        </w:tc>
      </w:tr>
      <w:tr w:rsidR="00A1435C" w:rsidTr="00B33ED9" w14:paraId="5C89F880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01B79C38" w14:textId="4608C9FE">
            <w:r>
              <w:rPr>
                <w:color w:val="000000" w:themeColor="text1"/>
              </w:rPr>
              <w:t>May 28,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7BF0B62E" w14:textId="7DD5E357">
            <w:r>
              <w:t>Deadline for Pre-Hearing Submissions (Exhibit List, Intervenor Witness Cross-Examination List, etc. filed on the Commission Interchange.  Exhibits and Exhibit Lists uploaded to Electronic Repository by 5:00 p.m.)</w:t>
            </w:r>
          </w:p>
        </w:tc>
      </w:tr>
      <w:tr w:rsidR="00A1435C" w:rsidTr="00B33ED9" w14:paraId="384BF450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340F25BC" w14:textId="60A337C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May 29,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442771F7" w14:textId="51784E08">
            <w:r>
              <w:t>Response to Objections to Applicant’s Rebuttal Testimony (live at remote hearing)</w:t>
            </w:r>
          </w:p>
        </w:tc>
      </w:tr>
      <w:tr w:rsidR="00A1435C" w:rsidTr="00B33ED9" w14:paraId="1A019AD0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54E863E6" w14:textId="7FDD8DA4">
            <w:r>
              <w:rPr>
                <w:color w:val="000000" w:themeColor="text1"/>
              </w:rPr>
              <w:t>May 29,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724D494A" w14:textId="35791D5A">
            <w:r>
              <w:t>Final Prehearing Conference</w:t>
            </w:r>
          </w:p>
        </w:tc>
      </w:tr>
      <w:tr w:rsidR="00A1435C" w:rsidTr="00B33ED9" w14:paraId="6CC3F85D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4A9CEC03" w14:textId="63F7B376">
            <w:r>
              <w:rPr>
                <w:b/>
                <w:bCs/>
                <w:color w:val="000000" w:themeColor="text1"/>
              </w:rPr>
              <w:t>May 29-30,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01170FC0" w14:textId="67B2F42F">
            <w:r>
              <w:rPr>
                <w:b/>
                <w:bCs/>
              </w:rPr>
              <w:t xml:space="preserve">Remote Hearing on the Merits </w:t>
            </w:r>
          </w:p>
        </w:tc>
      </w:tr>
      <w:tr w:rsidR="00A1435C" w:rsidTr="00B33ED9" w14:paraId="0A6195AB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351BE9CB" w14:textId="7F22F9E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June 6,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0AE4E63E" w14:textId="11ECD4C4">
            <w:r>
              <w:t>Deadline for Initial Briefs</w:t>
            </w:r>
          </w:p>
        </w:tc>
      </w:tr>
      <w:tr w:rsidR="00A1435C" w:rsidTr="00B33ED9" w14:paraId="4CE961C2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5CB77CFD" w14:textId="51D0C904">
            <w:r>
              <w:rPr>
                <w:color w:val="000000" w:themeColor="text1"/>
              </w:rPr>
              <w:t>June 9,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0642D4C6" w14:textId="3503520A">
            <w:pPr>
              <w:rPr>
                <w:b/>
                <w:bCs/>
              </w:rPr>
            </w:pPr>
            <w:r>
              <w:t>Date Application is Eligible for Administrative Approval</w:t>
            </w:r>
          </w:p>
        </w:tc>
      </w:tr>
      <w:tr w:rsidR="00A1435C" w:rsidTr="00B33ED9" w14:paraId="328E882C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3058214D" w14:textId="77E8654B">
            <w:pPr>
              <w:rPr>
                <w:b/>
                <w:bCs/>
              </w:rPr>
            </w:pPr>
            <w:r>
              <w:rPr>
                <w:color w:val="000000" w:themeColor="text1"/>
              </w:rPr>
              <w:t>June 13,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400247F0" w14:textId="1D19D983">
            <w:pPr>
              <w:rPr>
                <w:b/>
                <w:bCs/>
              </w:rPr>
            </w:pPr>
            <w:r>
              <w:t>Deadline for Reply Briefs (with Proposed Findings of Fact, Conclusions of Law, and Ordering Paragraphs)</w:t>
            </w:r>
          </w:p>
        </w:tc>
      </w:tr>
      <w:tr w:rsidR="00A1435C" w:rsidTr="00B33ED9" w14:paraId="40A1BA01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210ACC7D" w14:textId="1A67E345">
            <w:pPr>
              <w:rPr>
                <w:b/>
                <w:bCs/>
              </w:rPr>
            </w:pPr>
            <w:r>
              <w:rPr>
                <w:color w:val="000000" w:themeColor="text1"/>
              </w:rPr>
              <w:t>August 12,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36539C58" w14:textId="2A9192BF">
            <w:pPr>
              <w:rPr>
                <w:b/>
                <w:bCs/>
              </w:rPr>
            </w:pPr>
            <w:r>
              <w:t>Approximate Date for PFD</w:t>
            </w:r>
          </w:p>
        </w:tc>
      </w:tr>
      <w:tr w:rsidR="00A1435C" w:rsidTr="00B33ED9" w14:paraId="35AE0C00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176990A2" w14:textId="706F2510">
            <w:pPr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August 18,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47DE4947" w14:textId="293927F5">
            <w:pPr>
              <w:rPr>
                <w:b/>
                <w:bCs/>
              </w:rPr>
            </w:pPr>
            <w:r>
              <w:t>Deadline for Exceptions to PFD</w:t>
            </w:r>
          </w:p>
        </w:tc>
      </w:tr>
      <w:tr w:rsidR="00A1435C" w:rsidTr="00B33ED9" w14:paraId="346B0243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710F225B" w14:textId="7EC92FB1">
            <w:r>
              <w:rPr>
                <w:color w:val="000000" w:themeColor="text1"/>
              </w:rPr>
              <w:t>August 22,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6CA5EC66" w14:textId="79878CF0">
            <w:r>
              <w:t>Deadline for Replies to Exceptions</w:t>
            </w:r>
          </w:p>
        </w:tc>
      </w:tr>
      <w:tr w:rsidR="00A1435C" w:rsidTr="00B33ED9" w14:paraId="501FC7AB" w14:textId="77777777">
        <w:trPr>
          <w:trHeight w:val="55"/>
          <w:jc w:val="center"/>
        </w:trPr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08428BE6" w14:textId="2FD771D7">
            <w:r>
              <w:rPr>
                <w:b/>
                <w:bCs/>
                <w:color w:val="000000" w:themeColor="text1"/>
              </w:rPr>
              <w:t>September 16, 2025</w:t>
            </w:r>
          </w:p>
        </w:tc>
        <w:tc>
          <w:tcPr>
            <w:tcW w:w="7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1435C" w:rsidP="00B33ED9" w:rsidRDefault="00A1435C" w14:paraId="7BFDBBEF" w14:textId="18579F57">
            <w:r>
              <w:rPr>
                <w:b/>
                <w:bCs/>
              </w:rPr>
              <w:t>Commission Deadline for Decision under the Preliminary Order – PURA § 37.057 180 day deadline</w:t>
            </w:r>
          </w:p>
        </w:tc>
      </w:tr>
    </w:tbl>
    <w:p w:rsidRPr="00F96853" w:rsidR="00F96853" w:rsidP="00F96853" w:rsidRDefault="00F96853" w14:paraId="431DC3D9" w14:textId="7938E85A">
      <w:pPr>
        <w:pStyle w:val="StandardL1"/>
        <w:numPr>
          <w:ilvl w:val="0"/>
          <w:numId w:val="0"/>
        </w:numPr>
        <w:spacing w:after="0" w:line="360" w:lineRule="auto"/>
      </w:pPr>
    </w:p>
    <w:p w:rsidR="00CD61FA" w:rsidP="004F70CD" w:rsidRDefault="00CD61FA" w14:paraId="17F4063F" w14:textId="1AE8A2C8">
      <w:pPr>
        <w:pStyle w:val="StandardL1"/>
        <w:keepNext/>
        <w:keepLines/>
        <w:spacing w:after="0" w:line="360" w:lineRule="auto"/>
        <w:jc w:val="center"/>
        <w:rPr>
          <w:b/>
          <w:bCs/>
        </w:rPr>
      </w:pPr>
      <w:r>
        <w:rPr>
          <w:b/>
          <w:bCs/>
        </w:rPr>
        <w:t>CONCLUSION</w:t>
      </w:r>
    </w:p>
    <w:p w:rsidR="002B6D76" w:rsidP="004F70CD" w:rsidRDefault="005001D8" w14:paraId="387E6228" w14:textId="5D776503">
      <w:pPr>
        <w:pStyle w:val="BodyText"/>
        <w:keepNext/>
        <w:keepLines/>
        <w:spacing w:line="360" w:lineRule="auto"/>
        <w:ind w:firstLine="720"/>
        <w:jc w:val="both"/>
      </w:pPr>
      <w:r>
        <w:t>Oncor</w:t>
      </w:r>
      <w:r w:rsidR="00A2772C">
        <w:t xml:space="preserve"> respectfully request</w:t>
      </w:r>
      <w:r>
        <w:t>s</w:t>
      </w:r>
      <w:r w:rsidR="00A2772C">
        <w:t xml:space="preserve"> that the</w:t>
      </w:r>
      <w:r w:rsidR="00890447">
        <w:t xml:space="preserve"> </w:t>
      </w:r>
      <w:r w:rsidR="00F96853">
        <w:t>SOAH ALJ adopt the</w:t>
      </w:r>
      <w:r w:rsidR="007567A9">
        <w:t>se</w:t>
      </w:r>
      <w:r w:rsidR="00F96853">
        <w:t xml:space="preserve"> </w:t>
      </w:r>
      <w:r w:rsidR="007567A9">
        <w:t xml:space="preserve">proposed modifications to the procedural schedule consistent with the Parties’ </w:t>
      </w:r>
      <w:r w:rsidR="0072202E">
        <w:t>conference regarding this matter</w:t>
      </w:r>
      <w:r w:rsidR="00A2772C">
        <w:t>.</w:t>
      </w:r>
    </w:p>
    <w:p w:rsidRPr="002B6D76" w:rsidR="00A2772C" w:rsidP="002B6D76" w:rsidRDefault="00A2772C" w14:paraId="0741F028" w14:textId="35A83BEC">
      <w:pPr>
        <w:spacing w:after="240"/>
      </w:pPr>
    </w:p>
    <w:p w:rsidR="007567A9" w:rsidRDefault="007567A9" w14:paraId="0422A0F5" w14:textId="77777777">
      <w:pPr>
        <w:spacing w:after="240"/>
        <w:rPr>
          <w:rFonts w:eastAsia="Times New Roman" w:cs="Times New Roman"/>
        </w:rPr>
      </w:pPr>
      <w:r>
        <w:rPr>
          <w:rFonts w:eastAsia="Times New Roman" w:cs="Times New Roman"/>
        </w:rPr>
        <w:br w:type="page"/>
      </w:r>
    </w:p>
    <w:p w:rsidRPr="00F14651" w:rsidR="00F14651" w:rsidP="00F14651" w:rsidRDefault="00F14651" w14:paraId="24C68C31" w14:textId="6A8ED231">
      <w:pPr>
        <w:ind w:left="3600" w:firstLine="72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lastRenderedPageBreak/>
        <w:t>Respectfully submitted,</w:t>
      </w:r>
    </w:p>
    <w:p w:rsidR="007005DB" w:rsidP="00F14651" w:rsidRDefault="00F14651" w14:paraId="04030627" w14:textId="77777777">
      <w:pPr>
        <w:jc w:val="both"/>
        <w:rPr>
          <w:rFonts w:eastAsia="Times New Roman" w:cs="Times New Roman"/>
          <w:smallCaps/>
        </w:rPr>
      </w:pPr>
      <w:r w:rsidRPr="00F14651">
        <w:rPr>
          <w:rFonts w:eastAsia="Times New Roman" w:cs="Times New Roman"/>
        </w:rPr>
        <w:tab/>
      </w:r>
      <w:r w:rsidRPr="00F14651">
        <w:rPr>
          <w:rFonts w:eastAsia="Times New Roman" w:cs="Times New Roman"/>
        </w:rPr>
        <w:tab/>
      </w:r>
      <w:r w:rsidRPr="00F14651">
        <w:rPr>
          <w:rFonts w:eastAsia="Times New Roman" w:cs="Times New Roman"/>
        </w:rPr>
        <w:tab/>
      </w:r>
      <w:r w:rsidRPr="00F14651">
        <w:rPr>
          <w:rFonts w:eastAsia="Times New Roman" w:cs="Times New Roman"/>
        </w:rPr>
        <w:tab/>
      </w:r>
      <w:r w:rsidRPr="00F14651">
        <w:rPr>
          <w:rFonts w:eastAsia="Times New Roman" w:cs="Times New Roman"/>
        </w:rPr>
        <w:tab/>
      </w:r>
      <w:r w:rsidRPr="00F14651">
        <w:rPr>
          <w:rFonts w:eastAsia="Times New Roman" w:cs="Times New Roman"/>
        </w:rPr>
        <w:tab/>
      </w:r>
      <w:r w:rsidRPr="00F14651">
        <w:rPr>
          <w:rFonts w:eastAsia="Times New Roman" w:cs="Times New Roman"/>
          <w:smallCaps/>
        </w:rPr>
        <w:tab/>
      </w:r>
    </w:p>
    <w:p w:rsidRPr="00F14651" w:rsidR="00F14651" w:rsidP="00F14651" w:rsidRDefault="00F14651" w14:paraId="6FFCE939" w14:textId="00C44120">
      <w:pPr>
        <w:jc w:val="both"/>
        <w:rPr>
          <w:rFonts w:eastAsia="Times New Roman" w:cs="Times New Roman"/>
          <w:smallCaps/>
        </w:rPr>
      </w:pPr>
      <w:r w:rsidRPr="00F14651">
        <w:rPr>
          <w:rFonts w:eastAsia="Times New Roman" w:cs="Times New Roman"/>
          <w:smallCaps/>
        </w:rPr>
        <w:tab/>
      </w:r>
      <w:r w:rsidRPr="00F14651">
        <w:rPr>
          <w:rFonts w:eastAsia="Times New Roman" w:cs="Times New Roman"/>
          <w:smallCaps/>
        </w:rPr>
        <w:tab/>
      </w:r>
      <w:r w:rsidRPr="00F14651">
        <w:rPr>
          <w:rFonts w:eastAsia="Times New Roman" w:cs="Times New Roman"/>
          <w:smallCaps/>
        </w:rPr>
        <w:tab/>
      </w:r>
      <w:r w:rsidRPr="00F14651">
        <w:rPr>
          <w:rFonts w:eastAsia="Times New Roman" w:cs="Times New Roman"/>
          <w:smallCaps/>
        </w:rPr>
        <w:tab/>
      </w:r>
      <w:r w:rsidRPr="00F14651">
        <w:rPr>
          <w:rFonts w:eastAsia="Times New Roman" w:cs="Times New Roman"/>
          <w:smallCaps/>
        </w:rPr>
        <w:tab/>
      </w:r>
    </w:p>
    <w:p w:rsidRPr="00F14651" w:rsidR="00F14651" w:rsidP="00C023D4" w:rsidRDefault="00F14651" w14:paraId="1E454FC8" w14:textId="399BDCA5">
      <w:pPr>
        <w:tabs>
          <w:tab w:val="left" w:pos="720"/>
          <w:tab w:val="left" w:pos="4320"/>
          <w:tab w:val="right" w:leader="dot" w:pos="8928"/>
        </w:tabs>
        <w:ind w:left="2880" w:firstLine="360"/>
        <w:rPr>
          <w:rFonts w:eastAsia="Times New Roman" w:cs="Times New Roman"/>
        </w:rPr>
      </w:pPr>
      <w:r w:rsidRPr="00F14651">
        <w:rPr>
          <w:rFonts w:eastAsia="Times New Roman" w:cs="Times New Roman"/>
        </w:rPr>
        <w:tab/>
      </w:r>
      <w:bookmarkStart w:name="_Hlk137981992" w:id="2"/>
      <w:r w:rsidRPr="00F14651">
        <w:rPr>
          <w:rFonts w:eastAsia="Times New Roman" w:cs="Times New Roman"/>
        </w:rPr>
        <w:t xml:space="preserve">By: </w:t>
      </w:r>
      <w:r w:rsidRPr="00F14651">
        <w:rPr>
          <w:rFonts w:eastAsia="Times New Roman" w:cs="Times New Roman"/>
          <w:i/>
          <w:iCs/>
          <w:u w:val="single"/>
        </w:rPr>
        <w:t xml:space="preserve">/s/ </w:t>
      </w:r>
      <w:r w:rsidR="005001D8">
        <w:rPr>
          <w:rFonts w:eastAsia="Times New Roman" w:cs="Times New Roman"/>
          <w:i/>
          <w:iCs/>
          <w:u w:val="single"/>
        </w:rPr>
        <w:t>Rachael L. Curtin</w:t>
      </w:r>
    </w:p>
    <w:p w:rsidRPr="00F14651" w:rsidR="00F14651" w:rsidP="00F14651" w:rsidRDefault="00F14651" w14:paraId="64125D42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Jaren A. Taylor</w:t>
      </w:r>
    </w:p>
    <w:p w:rsidRPr="00F14651" w:rsidR="00F14651" w:rsidP="00F14651" w:rsidRDefault="00F14651" w14:paraId="2F909042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State Bar No. 24059069</w:t>
      </w:r>
    </w:p>
    <w:p w:rsidRPr="00F14651" w:rsidR="00F14651" w:rsidP="00F14651" w:rsidRDefault="005001D8" w14:paraId="57FB014D" w14:textId="7B35348E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Rachael L. Curtin</w:t>
      </w:r>
    </w:p>
    <w:p w:rsidRPr="00F14651" w:rsidR="00F14651" w:rsidP="00F14651" w:rsidRDefault="00F14651" w14:paraId="536DD232" w14:textId="5636773F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State Bar No. 24</w:t>
      </w:r>
      <w:r w:rsidR="005001D8">
        <w:rPr>
          <w:rFonts w:eastAsia="Times New Roman" w:cs="Times New Roman"/>
        </w:rPr>
        <w:t>132295</w:t>
      </w:r>
    </w:p>
    <w:p w:rsidRPr="00F14651" w:rsidR="00F14651" w:rsidP="00F14651" w:rsidRDefault="00F14651" w14:paraId="5E8D2EB4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</w:p>
    <w:p w:rsidRPr="00F14651" w:rsidR="00F14651" w:rsidP="00F14651" w:rsidRDefault="00F14651" w14:paraId="6945961D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  <w:smallCaps/>
        </w:rPr>
        <w:t>Vinson &amp; Elkins LLP</w:t>
      </w:r>
    </w:p>
    <w:p w:rsidRPr="00F14651" w:rsidR="00F14651" w:rsidP="00F14651" w:rsidRDefault="00F14651" w14:paraId="2D9CD7DD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Trammell Crow Center</w:t>
      </w:r>
    </w:p>
    <w:p w:rsidRPr="00F14651" w:rsidR="00F14651" w:rsidP="00F14651" w:rsidRDefault="00F14651" w14:paraId="75120064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 xml:space="preserve">2001 Ross Avenue, Suite 3900 </w:t>
      </w:r>
    </w:p>
    <w:p w:rsidRPr="00F14651" w:rsidR="00F14651" w:rsidP="00F14651" w:rsidRDefault="00F14651" w14:paraId="4EA5E4A1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Dallas, Texas 75201-2975</w:t>
      </w:r>
    </w:p>
    <w:p w:rsidRPr="00F14651" w:rsidR="00F14651" w:rsidP="00F14651" w:rsidRDefault="00F14651" w14:paraId="4D40C855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Telephone: (214) 220-7754</w:t>
      </w:r>
    </w:p>
    <w:p w:rsidRPr="00F14651" w:rsidR="00F14651" w:rsidP="00F14651" w:rsidRDefault="00F14651" w14:paraId="49524889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Facsimile: (214) 999-7754</w:t>
      </w:r>
    </w:p>
    <w:p w:rsidRPr="00F14651" w:rsidR="00F14651" w:rsidP="00F14651" w:rsidRDefault="00F14651" w14:paraId="74B57992" w14:textId="77777777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 w:rsidRPr="00F14651">
        <w:rPr>
          <w:rFonts w:eastAsia="Times New Roman" w:cs="Times New Roman"/>
        </w:rPr>
        <w:t>jarentaylor@velaw.com</w:t>
      </w:r>
    </w:p>
    <w:p w:rsidRPr="00F14651" w:rsidR="00F14651" w:rsidP="00F14651" w:rsidRDefault="005001D8" w14:paraId="7105D304" w14:textId="72FCADE9">
      <w:pPr>
        <w:tabs>
          <w:tab w:val="left" w:pos="720"/>
          <w:tab w:val="right" w:leader="dot" w:pos="8928"/>
        </w:tabs>
        <w:ind w:left="4770"/>
        <w:jc w:val="both"/>
        <w:rPr>
          <w:rFonts w:eastAsia="Times New Roman" w:cs="Times New Roman"/>
        </w:rPr>
      </w:pPr>
      <w:r>
        <w:rPr>
          <w:rFonts w:eastAsia="Calibri" w:cs="Times New Roman"/>
        </w:rPr>
        <w:t>rcurtin</w:t>
      </w:r>
      <w:r w:rsidRPr="00F14651" w:rsidR="00F14651">
        <w:rPr>
          <w:rFonts w:eastAsia="Calibri" w:cs="Times New Roman"/>
        </w:rPr>
        <w:t>@velaw.com</w:t>
      </w:r>
    </w:p>
    <w:p w:rsidRPr="00F14651" w:rsidR="00F14651" w:rsidP="00F14651" w:rsidRDefault="00F14651" w14:paraId="6B03C054" w14:textId="77777777">
      <w:pPr>
        <w:tabs>
          <w:tab w:val="left" w:pos="720"/>
          <w:tab w:val="right" w:leader="dot" w:pos="8928"/>
        </w:tabs>
        <w:jc w:val="both"/>
        <w:rPr>
          <w:rFonts w:eastAsia="Times New Roman" w:cs="Times New Roman"/>
        </w:rPr>
      </w:pPr>
    </w:p>
    <w:p w:rsidR="00327DAB" w:rsidP="00A2772C" w:rsidRDefault="00F14651" w14:paraId="231CE3F3" w14:textId="07A6EFA6">
      <w:pPr>
        <w:tabs>
          <w:tab w:val="left" w:pos="4320"/>
        </w:tabs>
        <w:ind w:left="4320"/>
        <w:rPr>
          <w:rFonts w:eastAsia="Calibri" w:cs="Times New Roman"/>
          <w:b/>
        </w:rPr>
      </w:pPr>
      <w:r w:rsidRPr="00F14651">
        <w:rPr>
          <w:rFonts w:eastAsia="Calibri" w:cs="Times New Roman"/>
          <w:b/>
        </w:rPr>
        <w:t>ATTORNEYS FOR ONCOR ELECTRIC DELIVERY COMPANY LLC</w:t>
      </w:r>
      <w:bookmarkEnd w:id="2"/>
      <w:r w:rsidR="00327DAB">
        <w:rPr>
          <w:rFonts w:eastAsia="Calibri" w:cs="Times New Roman"/>
          <w:b/>
        </w:rPr>
        <w:t xml:space="preserve"> </w:t>
      </w:r>
    </w:p>
    <w:p w:rsidR="00327DAB" w:rsidP="00327DAB" w:rsidRDefault="00327DAB" w14:paraId="2661AE4F" w14:textId="77777777">
      <w:pPr>
        <w:tabs>
          <w:tab w:val="left" w:pos="4320"/>
        </w:tabs>
        <w:jc w:val="both"/>
        <w:rPr>
          <w:rFonts w:eastAsia="Calibri" w:cs="Times New Roman"/>
          <w:b/>
        </w:rPr>
      </w:pPr>
    </w:p>
    <w:p w:rsidR="00A2008A" w:rsidP="00327DAB" w:rsidRDefault="00A2008A" w14:paraId="7092DA61" w14:textId="77777777">
      <w:pPr>
        <w:tabs>
          <w:tab w:val="left" w:pos="4320"/>
        </w:tabs>
        <w:jc w:val="both"/>
        <w:rPr>
          <w:rFonts w:eastAsia="Calibri" w:cs="Times New Roman"/>
          <w:b/>
        </w:rPr>
      </w:pPr>
    </w:p>
    <w:p w:rsidR="00A2008A" w:rsidP="00327DAB" w:rsidRDefault="00A2008A" w14:paraId="7C386C73" w14:textId="77777777">
      <w:pPr>
        <w:tabs>
          <w:tab w:val="left" w:pos="4320"/>
        </w:tabs>
        <w:jc w:val="both"/>
        <w:rPr>
          <w:rFonts w:eastAsia="Calibri" w:cs="Times New Roman"/>
          <w:b/>
        </w:rPr>
      </w:pPr>
    </w:p>
    <w:p w:rsidR="00A2008A" w:rsidP="00327DAB" w:rsidRDefault="00A2008A" w14:paraId="367FC3EE" w14:textId="77777777">
      <w:pPr>
        <w:tabs>
          <w:tab w:val="left" w:pos="4320"/>
        </w:tabs>
        <w:jc w:val="both"/>
        <w:rPr>
          <w:rFonts w:eastAsia="Calibri" w:cs="Times New Roman"/>
          <w:b/>
        </w:rPr>
      </w:pPr>
    </w:p>
    <w:p w:rsidR="00A2008A" w:rsidP="00327DAB" w:rsidRDefault="00A2008A" w14:paraId="459538D0" w14:textId="77777777">
      <w:pPr>
        <w:tabs>
          <w:tab w:val="left" w:pos="4320"/>
        </w:tabs>
        <w:jc w:val="both"/>
        <w:rPr>
          <w:rFonts w:eastAsia="Calibri" w:cs="Times New Roman"/>
          <w:b/>
        </w:rPr>
      </w:pPr>
    </w:p>
    <w:p w:rsidR="00327DAB" w:rsidP="00327DAB" w:rsidRDefault="00327DAB" w14:paraId="0C68CCB1" w14:textId="77777777">
      <w:pPr>
        <w:keepNext/>
        <w:keepLines/>
        <w:spacing w:after="240"/>
        <w:jc w:val="center"/>
        <w:rPr>
          <w:rFonts w:eastAsia="Calibri" w:cs="Times New Roman"/>
        </w:rPr>
      </w:pPr>
      <w:r>
        <w:rPr>
          <w:rFonts w:eastAsia="Calibri" w:cs="Times New Roman"/>
          <w:b/>
          <w:bCs/>
          <w:u w:val="single"/>
        </w:rPr>
        <w:t>CERTIFICATE OF SERVICE</w:t>
      </w:r>
    </w:p>
    <w:p w:rsidR="003B0526" w:rsidP="00A2772C" w:rsidRDefault="00327DAB" w14:paraId="52F24467" w14:textId="4A633702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960"/>
        </w:tabs>
        <w:ind w:firstLine="720"/>
        <w:jc w:val="both"/>
        <w:rPr>
          <w:rFonts w:eastAsia="Calibri" w:cs="Arial"/>
        </w:rPr>
      </w:pPr>
      <w:r>
        <w:rPr>
          <w:rFonts w:eastAsia="Calibri" w:cs="Arial"/>
        </w:rPr>
        <w:t xml:space="preserve">It is hereby certified that a copy of the foregoing has been filed with the Commission and served on all parties via email pursuant to SOAH Order No. 1 in this docket, on this the </w:t>
      </w:r>
      <w:r w:rsidR="005001D8">
        <w:rPr>
          <w:rFonts w:eastAsia="Calibri" w:cs="Arial"/>
        </w:rPr>
        <w:t>8th</w:t>
      </w:r>
      <w:r>
        <w:rPr>
          <w:rFonts w:eastAsia="Calibri" w:cs="Arial"/>
        </w:rPr>
        <w:t xml:space="preserve"> day of </w:t>
      </w:r>
      <w:r w:rsidR="002B6D76">
        <w:rPr>
          <w:rFonts w:eastAsia="Calibri" w:cs="Arial"/>
        </w:rPr>
        <w:t>May</w:t>
      </w:r>
      <w:r>
        <w:rPr>
          <w:rFonts w:eastAsia="Calibri" w:cs="Arial"/>
        </w:rPr>
        <w:t>, 2025.</w:t>
      </w:r>
    </w:p>
    <w:p w:rsidRPr="00A2772C" w:rsidR="002B6D76" w:rsidP="00A2772C" w:rsidRDefault="002B6D76" w14:paraId="783A7145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960"/>
        </w:tabs>
        <w:ind w:firstLine="720"/>
        <w:jc w:val="both"/>
        <w:rPr>
          <w:rFonts w:eastAsia="Calibri" w:cs="Arial"/>
        </w:rPr>
      </w:pPr>
    </w:p>
    <w:p w:rsidR="00E5326D" w:rsidP="00430872" w:rsidRDefault="00E5326D" w14:paraId="5A83004F" w14:textId="77777777"/>
    <w:p w:rsidR="00362F21" w:rsidP="00DB36CB" w:rsidRDefault="00362F21" w14:paraId="4C40EDDF" w14:textId="5A6D41B0">
      <w:pPr>
        <w:ind w:left="4320" w:firstLine="720"/>
        <w:jc w:val="center"/>
      </w:pPr>
      <w:r>
        <w:t>_________________________</w:t>
      </w:r>
    </w:p>
    <w:p w:rsidR="00130AEA" w:rsidP="00362F21" w:rsidRDefault="00130AEA" w14:paraId="25188240" w14:textId="190EF6A5">
      <w:pPr>
        <w:jc w:val="right"/>
      </w:pPr>
    </w:p>
    <w:sectPr w:rsidR="00130AEA" w:rsidSect="0098183E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2BDB" w:rsidP="0098183E" w:rsidRDefault="001F2BDB" w14:paraId="4EDF3C08" w14:textId="77777777">
      <w:r>
        <w:separator/>
      </w:r>
    </w:p>
  </w:endnote>
  <w:endnote w:type="continuationSeparator" w:id="0">
    <w:p w:rsidR="001F2BDB" w:rsidP="0098183E" w:rsidRDefault="001F2BDB" w14:paraId="06F6D98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766D" w:rsidRDefault="00C55574" w14:paraId="4220F23D" w14:textId="4C354527">
    <w:pPr>
      <w:pStyle w:val="Footer"/>
    </w:pPr>
    <w:r w:rsidRPr="00B67B46" w:rsidR="00B67B46">
      <w:rPr>
        <w:rStyle w:val="DocID"/>
      </w:rPr>
      <w:t>4931-4621-3185v.1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F45D6" w:rsidR="00B67B46" w:rsidP="002B6D76" w:rsidRDefault="0072202E" w14:paraId="55F4C3E6" w14:textId="3E6EC6CD">
    <w:pPr>
      <w:pStyle w:val="Footer"/>
      <w:rPr>
        <w:b/>
        <w:sz w:val="20"/>
        <w:szCs w:val="20"/>
      </w:rPr>
    </w:pPr>
    <w:r>
      <w:rPr>
        <w:rFonts w:ascii="Times New Roman Bold" w:hAnsi="Times New Roman Bold"/>
        <w:b/>
        <w:caps/>
        <w:sz w:val="20"/>
        <w:szCs w:val="20"/>
        <w:u w:val="single"/>
      </w:rPr>
      <w:t>Unopposed</w:t>
    </w:r>
    <w:r w:rsidR="007567A9">
      <w:rPr>
        <w:rFonts w:ascii="Times New Roman Bold" w:hAnsi="Times New Roman Bold"/>
        <w:b/>
        <w:caps/>
        <w:sz w:val="20"/>
        <w:szCs w:val="20"/>
        <w:u w:val="single"/>
      </w:rPr>
      <w:t xml:space="preserve"> </w:t>
    </w:r>
    <w:r w:rsidR="005001D8">
      <w:rPr>
        <w:rFonts w:ascii="Times New Roman Bold" w:hAnsi="Times New Roman Bold"/>
        <w:b/>
        <w:caps/>
        <w:sz w:val="20"/>
        <w:szCs w:val="20"/>
        <w:u w:val="single"/>
      </w:rPr>
      <w:t>Response to SOAH Order No. 3</w:t>
    </w:r>
    <w:r w:rsidRPr="002B6D76" w:rsidR="002B6D76">
      <w:rPr>
        <w:b/>
        <w:sz w:val="20"/>
        <w:szCs w:val="20"/>
      </w:rPr>
      <w:t xml:space="preserve"> – Page </w:t>
    </w:r>
    <w:r w:rsidRPr="002B6D76" w:rsidR="002B6D76">
      <w:rPr>
        <w:b/>
        <w:bCs/>
        <w:sz w:val="20"/>
        <w:szCs w:val="20"/>
      </w:rPr>
      <w:fldChar w:fldCharType="begin"/>
    </w:r>
    <w:r w:rsidRPr="002B6D76" w:rsidR="002B6D76">
      <w:rPr>
        <w:b/>
        <w:bCs/>
        <w:sz w:val="20"/>
        <w:szCs w:val="20"/>
      </w:rPr>
      <w:instrText xml:space="preserve"> PAGE  \* Arabic  \* MERGEFORMAT </w:instrText>
    </w:r>
    <w:r w:rsidRPr="002B6D76" w:rsidR="002B6D76">
      <w:rPr>
        <w:b/>
        <w:bCs/>
        <w:sz w:val="20"/>
        <w:szCs w:val="20"/>
      </w:rPr>
      <w:fldChar w:fldCharType="separate"/>
    </w:r>
    <w:r w:rsidRPr="002B6D76" w:rsidR="002B6D76">
      <w:rPr>
        <w:b/>
        <w:bCs/>
        <w:sz w:val="20"/>
        <w:szCs w:val="20"/>
      </w:rPr>
      <w:t>1</w:t>
    </w:r>
    <w:r w:rsidRPr="002B6D76" w:rsidR="002B6D76">
      <w:rPr>
        <w:sz w:val="20"/>
        <w:szCs w:val="20"/>
      </w:rPr>
      <w:fldChar w:fldCharType="end"/>
    </w:r>
    <w:r w:rsidRPr="002B6D76" w:rsidR="002B6D76">
      <w:rPr>
        <w:b/>
        <w:sz w:val="20"/>
        <w:szCs w:val="20"/>
      </w:rPr>
      <w:t xml:space="preserve"> of </w:t>
    </w:r>
    <w:r w:rsidR="005001D8">
      <w:rPr>
        <w:b/>
        <w:sz w:val="20"/>
        <w:szCs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766D" w:rsidRDefault="00C55574" w14:paraId="7DE5D4A6" w14:textId="27A7E2F9">
    <w:pPr>
      <w:pStyle w:val="Footer"/>
    </w:pPr>
    <w:r w:rsidRPr="00B67B46" w:rsidR="00B67B46">
      <w:rPr>
        <w:rStyle w:val="DocID"/>
      </w:rPr>
      <w:t>4931-4621-3185v.1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2BDB" w:rsidP="0098183E" w:rsidRDefault="001F2BDB" w14:paraId="27653EAD" w14:textId="77777777">
      <w:r>
        <w:separator/>
      </w:r>
    </w:p>
  </w:footnote>
  <w:footnote w:type="continuationSeparator" w:id="0">
    <w:p w:rsidR="001F2BDB" w:rsidP="0098183E" w:rsidRDefault="001F2BDB" w14:paraId="24869FEB" w14:textId="77777777">
      <w:r>
        <w:continuationSeparator/>
      </w:r>
    </w:p>
  </w:footnote>
  <w:footnote w:id="1">
    <w:p w:rsidR="00327DAB" w:rsidP="00E21BCD" w:rsidRDefault="00327DAB" w14:paraId="1C76BCF3" w14:textId="6C20D6E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As of the filing of this </w:t>
      </w:r>
      <w:r w:rsidR="00314D53">
        <w:t>response</w:t>
      </w:r>
      <w:r w:rsidRPr="00362F21">
        <w:t xml:space="preserve">, </w:t>
      </w:r>
      <w:r w:rsidR="003B0526">
        <w:t>Oncor</w:t>
      </w:r>
      <w:r w:rsidR="00A2772C">
        <w:t xml:space="preserve">, </w:t>
      </w:r>
      <w:r w:rsidR="00314D53">
        <w:t xml:space="preserve">Wise Asset, Covington, </w:t>
      </w:r>
      <w:r w:rsidR="00A2772C">
        <w:t xml:space="preserve">DBM, </w:t>
      </w:r>
      <w:r w:rsidR="00314D53">
        <w:t>J&amp;S</w:t>
      </w:r>
      <w:r w:rsidR="00A2772C">
        <w:t xml:space="preserve">, and </w:t>
      </w:r>
      <w:r w:rsidR="003B0526">
        <w:t>Staff</w:t>
      </w:r>
      <w:r w:rsidRPr="00362F21">
        <w:t xml:space="preserve"> are the only parties to this proceeding.</w:t>
      </w:r>
    </w:p>
  </w:footnote>
  <w:footnote w:id="2">
    <w:p w:rsidR="00257515" w:rsidRDefault="00257515" w14:paraId="59F0D934" w14:textId="117B41E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1651B">
        <w:rPr>
          <w:i/>
          <w:iCs/>
        </w:rPr>
        <w:t xml:space="preserve">See </w:t>
      </w:r>
      <w:r w:rsidRPr="00E70958">
        <w:rPr>
          <w:i/>
          <w:iCs/>
        </w:rPr>
        <w:t xml:space="preserve">Application of Oncor Electric Delivery Company LLC to Amend Its Certificate of Convenience and Necessity for the </w:t>
      </w:r>
      <w:r>
        <w:rPr>
          <w:i/>
          <w:iCs/>
        </w:rPr>
        <w:t>Drill Hole Switch</w:t>
      </w:r>
      <w:r w:rsidRPr="00E70958">
        <w:rPr>
          <w:i/>
          <w:iCs/>
        </w:rPr>
        <w:t>-</w:t>
      </w:r>
      <w:r>
        <w:rPr>
          <w:i/>
          <w:iCs/>
        </w:rPr>
        <w:t>El Capitan Switch</w:t>
      </w:r>
      <w:r w:rsidRPr="00E70958">
        <w:rPr>
          <w:i/>
          <w:iCs/>
        </w:rPr>
        <w:t xml:space="preserve"> </w:t>
      </w:r>
      <w:r>
        <w:rPr>
          <w:i/>
          <w:iCs/>
        </w:rPr>
        <w:t>345</w:t>
      </w:r>
      <w:r w:rsidRPr="00E70958">
        <w:rPr>
          <w:i/>
          <w:iCs/>
        </w:rPr>
        <w:t xml:space="preserve">-kV Transmission Line in </w:t>
      </w:r>
      <w:r>
        <w:rPr>
          <w:i/>
          <w:iCs/>
        </w:rPr>
        <w:t>Culberson County</w:t>
      </w:r>
      <w:r w:rsidRPr="00E70958">
        <w:t>, Docket No. 57</w:t>
      </w:r>
      <w:r>
        <w:t>828</w:t>
      </w:r>
      <w:r w:rsidRPr="00E70958">
        <w:t xml:space="preserve">, </w:t>
      </w:r>
      <w:r>
        <w:t>Staff’s Recommendation on Sufficiency of the Application and Notice</w:t>
      </w:r>
      <w:r w:rsidRPr="00E70958">
        <w:t xml:space="preserve"> (</w:t>
      </w:r>
      <w:r>
        <w:t>Apr.</w:t>
      </w:r>
      <w:r w:rsidRPr="00E70958">
        <w:t xml:space="preserve"> 1</w:t>
      </w:r>
      <w:r>
        <w:t>7</w:t>
      </w:r>
      <w:r w:rsidRPr="00E70958">
        <w:t>, 202</w:t>
      </w:r>
      <w:r>
        <w:t>5</w:t>
      </w:r>
      <w:r w:rsidRPr="00E70958">
        <w:t>)</w:t>
      </w:r>
      <w:r>
        <w:t>; Docket No. 57828, Oncor’s Notice and Request for Approval Regarding Oncor’s First Supplemental Affidavit Attesting to the Provision of Notice (Apr. 29, 2025).</w:t>
      </w:r>
      <w:r w:rsidRPr="00E70958">
        <w:t xml:space="preserve">  </w:t>
      </w:r>
    </w:p>
  </w:footnote>
  <w:footnote w:id="3">
    <w:p w:rsidR="00257515" w:rsidRDefault="00257515" w14:paraId="4B001B72" w14:textId="409C82F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70958">
        <w:t>Docket No. 57</w:t>
      </w:r>
      <w:r>
        <w:t>828</w:t>
      </w:r>
      <w:r w:rsidRPr="00E70958">
        <w:t xml:space="preserve">, </w:t>
      </w:r>
      <w:r>
        <w:t>SOAH Order No. 3 at 3</w:t>
      </w:r>
      <w:r w:rsidRPr="00E70958">
        <w:t xml:space="preserve"> (</w:t>
      </w:r>
      <w:r>
        <w:t>May</w:t>
      </w:r>
      <w:r w:rsidRPr="00E70958">
        <w:t xml:space="preserve"> 1, 202</w:t>
      </w:r>
      <w:r>
        <w:t>5</w:t>
      </w:r>
      <w:r w:rsidRPr="00E70958">
        <w:t>)</w:t>
      </w:r>
      <w:r>
        <w:t>.</w:t>
      </w:r>
      <w:r w:rsidRPr="00E70958"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4A57"/>
    <w:multiLevelType w:val="multilevel"/>
    <w:tmpl w:val="B440B3CE"/>
    <w:name w:val="zzmpStandard||Standard|2|3|1|1|0|0||1|0|0||1|0|0||1|0|0||1|0|0||1|0|0||1|0|0||1|0|0||1|0|0||"/>
    <w:lvl w:ilvl="0">
      <w:start w:val="1"/>
      <w:numFmt w:val="upperRoman"/>
      <w:pStyle w:val="StandardL1"/>
      <w:lvlText w:val="%1."/>
      <w:lvlJc w:val="left"/>
      <w:pPr>
        <w:tabs>
          <w:tab w:val="num" w:pos="3600"/>
        </w:tabs>
        <w:ind w:left="720" w:hanging="720"/>
      </w:pPr>
      <w:rPr>
        <w:b/>
        <w:bCs w:val="0"/>
        <w:i w:val="0"/>
        <w:caps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StandardL2"/>
      <w:lvlText w:val="(%2)"/>
      <w:lvlJc w:val="left"/>
      <w:pPr>
        <w:tabs>
          <w:tab w:val="num" w:pos="4320"/>
        </w:tabs>
        <w:ind w:left="288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pStyle w:val="StandardL3"/>
      <w:lvlText w:val="(%3)"/>
      <w:lvlJc w:val="left"/>
      <w:pPr>
        <w:tabs>
          <w:tab w:val="num" w:pos="5040"/>
        </w:tabs>
        <w:ind w:left="360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pStyle w:val="StandardL4"/>
      <w:lvlText w:val="(%4)"/>
      <w:lvlJc w:val="left"/>
      <w:pPr>
        <w:tabs>
          <w:tab w:val="num" w:pos="5760"/>
        </w:tabs>
        <w:ind w:left="432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Letter"/>
      <w:pStyle w:val="StandardL5"/>
      <w:lvlText w:val="%5."/>
      <w:lvlJc w:val="left"/>
      <w:pPr>
        <w:tabs>
          <w:tab w:val="num" w:pos="6480"/>
        </w:tabs>
        <w:ind w:left="504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lowerRoman"/>
      <w:pStyle w:val="StandardL6"/>
      <w:lvlText w:val="%6."/>
      <w:lvlJc w:val="left"/>
      <w:pPr>
        <w:tabs>
          <w:tab w:val="num" w:pos="7200"/>
        </w:tabs>
        <w:ind w:left="576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pStyle w:val="StandardL7"/>
      <w:lvlText w:val="%7)"/>
      <w:lvlJc w:val="left"/>
      <w:pPr>
        <w:tabs>
          <w:tab w:val="num" w:pos="7920"/>
        </w:tabs>
        <w:ind w:left="648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Letter"/>
      <w:pStyle w:val="StandardL8"/>
      <w:lvlText w:val="%8)"/>
      <w:lvlJc w:val="left"/>
      <w:pPr>
        <w:tabs>
          <w:tab w:val="num" w:pos="8640"/>
        </w:tabs>
        <w:ind w:left="720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lowerRoman"/>
      <w:pStyle w:val="StandardL9"/>
      <w:lvlText w:val="%9)"/>
      <w:lvlJc w:val="left"/>
      <w:pPr>
        <w:tabs>
          <w:tab w:val="num" w:pos="9360"/>
        </w:tabs>
        <w:ind w:left="7920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1" w15:restartNumberingAfterBreak="0">
    <w:nsid w:val="17F838EE"/>
    <w:multiLevelType w:val="hybridMultilevel"/>
    <w:tmpl w:val="91EA5138"/>
    <w:lvl w:ilvl="0" w:tplc="6EFE731C">
      <w:start w:val="1"/>
      <w:numFmt w:val="decimal"/>
      <w:lvlRestart w:val="0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A1F91"/>
    <w:multiLevelType w:val="hybridMultilevel"/>
    <w:tmpl w:val="D5300AB2"/>
    <w:lvl w:ilvl="0" w:tplc="0B40DC6C">
      <w:start w:val="1"/>
      <w:numFmt w:val="bullet"/>
      <w:lvlRestart w:val="0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40D5D"/>
    <w:multiLevelType w:val="hybridMultilevel"/>
    <w:tmpl w:val="A7B429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7020B3"/>
    <w:multiLevelType w:val="hybridMultilevel"/>
    <w:tmpl w:val="69404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6895231"/>
    <w:multiLevelType w:val="hybridMultilevel"/>
    <w:tmpl w:val="2786B74A"/>
    <w:lvl w:ilvl="0" w:tplc="4858A3E6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2"/>
  </w:num>
  <w:num w:numId="5">
    <w:abstractNumId w:val="1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DAB"/>
    <w:rsid w:val="00043D54"/>
    <w:rsid w:val="000512B8"/>
    <w:rsid w:val="00064109"/>
    <w:rsid w:val="00085B38"/>
    <w:rsid w:val="0008757B"/>
    <w:rsid w:val="000C6555"/>
    <w:rsid w:val="000E2CAE"/>
    <w:rsid w:val="000F766D"/>
    <w:rsid w:val="00130AEA"/>
    <w:rsid w:val="001B02CF"/>
    <w:rsid w:val="001D3B5B"/>
    <w:rsid w:val="001D6DDE"/>
    <w:rsid w:val="001E3227"/>
    <w:rsid w:val="001E36DB"/>
    <w:rsid w:val="001F2BDB"/>
    <w:rsid w:val="0020072F"/>
    <w:rsid w:val="00212EEC"/>
    <w:rsid w:val="0021651B"/>
    <w:rsid w:val="00225953"/>
    <w:rsid w:val="002263AB"/>
    <w:rsid w:val="00233672"/>
    <w:rsid w:val="002452B0"/>
    <w:rsid w:val="00257515"/>
    <w:rsid w:val="0026231F"/>
    <w:rsid w:val="002B6879"/>
    <w:rsid w:val="002B6D76"/>
    <w:rsid w:val="00314D53"/>
    <w:rsid w:val="00327DAB"/>
    <w:rsid w:val="003374C6"/>
    <w:rsid w:val="00342B75"/>
    <w:rsid w:val="0035664D"/>
    <w:rsid w:val="00362F21"/>
    <w:rsid w:val="00367BB8"/>
    <w:rsid w:val="00397D7D"/>
    <w:rsid w:val="003B0526"/>
    <w:rsid w:val="003F1EAD"/>
    <w:rsid w:val="00401E96"/>
    <w:rsid w:val="00407311"/>
    <w:rsid w:val="00430872"/>
    <w:rsid w:val="00473BDF"/>
    <w:rsid w:val="00476BFD"/>
    <w:rsid w:val="00481349"/>
    <w:rsid w:val="0048692E"/>
    <w:rsid w:val="004A6FCA"/>
    <w:rsid w:val="004C6909"/>
    <w:rsid w:val="004F70CD"/>
    <w:rsid w:val="005001D8"/>
    <w:rsid w:val="005277E5"/>
    <w:rsid w:val="00557448"/>
    <w:rsid w:val="005873B7"/>
    <w:rsid w:val="005B479A"/>
    <w:rsid w:val="005E6048"/>
    <w:rsid w:val="0061733E"/>
    <w:rsid w:val="006357BD"/>
    <w:rsid w:val="0067115B"/>
    <w:rsid w:val="0069132B"/>
    <w:rsid w:val="006A161D"/>
    <w:rsid w:val="006C3A65"/>
    <w:rsid w:val="006F11E5"/>
    <w:rsid w:val="007005DB"/>
    <w:rsid w:val="00701888"/>
    <w:rsid w:val="00711A85"/>
    <w:rsid w:val="0072202E"/>
    <w:rsid w:val="0074230B"/>
    <w:rsid w:val="007567A9"/>
    <w:rsid w:val="00765790"/>
    <w:rsid w:val="0077733D"/>
    <w:rsid w:val="00786BD6"/>
    <w:rsid w:val="007A23B5"/>
    <w:rsid w:val="007A3CD7"/>
    <w:rsid w:val="007A777B"/>
    <w:rsid w:val="00802EB6"/>
    <w:rsid w:val="00814D66"/>
    <w:rsid w:val="00886002"/>
    <w:rsid w:val="00887923"/>
    <w:rsid w:val="00890447"/>
    <w:rsid w:val="008A2104"/>
    <w:rsid w:val="008F45D6"/>
    <w:rsid w:val="00916727"/>
    <w:rsid w:val="00930035"/>
    <w:rsid w:val="00964A30"/>
    <w:rsid w:val="0098183E"/>
    <w:rsid w:val="009862A1"/>
    <w:rsid w:val="009911EC"/>
    <w:rsid w:val="009A4976"/>
    <w:rsid w:val="009F1478"/>
    <w:rsid w:val="00A10D33"/>
    <w:rsid w:val="00A1435C"/>
    <w:rsid w:val="00A2008A"/>
    <w:rsid w:val="00A2772C"/>
    <w:rsid w:val="00A43A6E"/>
    <w:rsid w:val="00A46C73"/>
    <w:rsid w:val="00A53C4E"/>
    <w:rsid w:val="00A53D58"/>
    <w:rsid w:val="00A9223B"/>
    <w:rsid w:val="00A96D28"/>
    <w:rsid w:val="00AB7A7C"/>
    <w:rsid w:val="00AC667B"/>
    <w:rsid w:val="00AF647B"/>
    <w:rsid w:val="00B04066"/>
    <w:rsid w:val="00B04281"/>
    <w:rsid w:val="00B12A54"/>
    <w:rsid w:val="00B47A04"/>
    <w:rsid w:val="00B6016D"/>
    <w:rsid w:val="00B67B46"/>
    <w:rsid w:val="00B71977"/>
    <w:rsid w:val="00B7502D"/>
    <w:rsid w:val="00B93FFB"/>
    <w:rsid w:val="00B94EB0"/>
    <w:rsid w:val="00BB3B39"/>
    <w:rsid w:val="00BB761A"/>
    <w:rsid w:val="00BC55BF"/>
    <w:rsid w:val="00BC61EE"/>
    <w:rsid w:val="00BD32EF"/>
    <w:rsid w:val="00BE133A"/>
    <w:rsid w:val="00BF0DC6"/>
    <w:rsid w:val="00C023D4"/>
    <w:rsid w:val="00C33FC5"/>
    <w:rsid w:val="00C41031"/>
    <w:rsid w:val="00C52A9F"/>
    <w:rsid w:val="00C55574"/>
    <w:rsid w:val="00CA5186"/>
    <w:rsid w:val="00CD61FA"/>
    <w:rsid w:val="00CD7293"/>
    <w:rsid w:val="00CE4535"/>
    <w:rsid w:val="00CF1D81"/>
    <w:rsid w:val="00D21773"/>
    <w:rsid w:val="00D22711"/>
    <w:rsid w:val="00D25FB6"/>
    <w:rsid w:val="00D608B6"/>
    <w:rsid w:val="00D74003"/>
    <w:rsid w:val="00D929EF"/>
    <w:rsid w:val="00DB0DBF"/>
    <w:rsid w:val="00DB36CB"/>
    <w:rsid w:val="00DD354E"/>
    <w:rsid w:val="00DD5C12"/>
    <w:rsid w:val="00DF38FD"/>
    <w:rsid w:val="00E14B2D"/>
    <w:rsid w:val="00E21BCD"/>
    <w:rsid w:val="00E30A13"/>
    <w:rsid w:val="00E3531D"/>
    <w:rsid w:val="00E435D3"/>
    <w:rsid w:val="00E476C4"/>
    <w:rsid w:val="00E5326D"/>
    <w:rsid w:val="00E70958"/>
    <w:rsid w:val="00E778B0"/>
    <w:rsid w:val="00E96D8D"/>
    <w:rsid w:val="00EA4375"/>
    <w:rsid w:val="00EB5261"/>
    <w:rsid w:val="00EC4ABC"/>
    <w:rsid w:val="00ED377D"/>
    <w:rsid w:val="00ED4606"/>
    <w:rsid w:val="00EE10C4"/>
    <w:rsid w:val="00EE4566"/>
    <w:rsid w:val="00F04995"/>
    <w:rsid w:val="00F14651"/>
    <w:rsid w:val="00F4007E"/>
    <w:rsid w:val="00F74AA9"/>
    <w:rsid w:val="00F94D94"/>
    <w:rsid w:val="00F96853"/>
    <w:rsid w:val="00FD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B6E87"/>
  <w15:chartTrackingRefBased/>
  <w15:docId w15:val="{C47FEB25-D413-4352-871F-1B142E52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7DAB"/>
    <w:pPr>
      <w:spacing w:after="0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TBodyText" w:customStyle="1">
    <w:name w:val="BT Body Text"/>
    <w:basedOn w:val="Normal"/>
    <w:uiPriority w:val="1"/>
    <w:qFormat/>
    <w:rsid w:val="00D929EF"/>
  </w:style>
  <w:style w:type="paragraph" w:styleId="BTDBodyTextDouble" w:customStyle="1">
    <w:name w:val="BTD Body Text Double"/>
    <w:basedOn w:val="Normal"/>
    <w:uiPriority w:val="1"/>
    <w:qFormat/>
    <w:rsid w:val="00D929EF"/>
    <w:pPr>
      <w:spacing w:line="480" w:lineRule="auto"/>
    </w:pPr>
  </w:style>
  <w:style w:type="paragraph" w:styleId="BLBlock" w:customStyle="1">
    <w:name w:val="BL Block"/>
    <w:basedOn w:val="Normal"/>
    <w:uiPriority w:val="1"/>
    <w:qFormat/>
    <w:rsid w:val="00D929EF"/>
    <w:pPr>
      <w:ind w:left="1440" w:right="1440"/>
    </w:pPr>
  </w:style>
  <w:style w:type="paragraph" w:styleId="BTDFLBodyTextDoubleFLI" w:customStyle="1">
    <w:name w:val="BTDFL Body Text Double FLI"/>
    <w:basedOn w:val="Normal"/>
    <w:uiPriority w:val="1"/>
    <w:qFormat/>
    <w:rsid w:val="00D929EF"/>
    <w:pPr>
      <w:spacing w:line="480" w:lineRule="auto"/>
      <w:ind w:firstLine="720"/>
    </w:pPr>
  </w:style>
  <w:style w:type="paragraph" w:styleId="BTFIBodyTextFirstIndent" w:customStyle="1">
    <w:name w:val="BTFI Body Text First Indent"/>
    <w:basedOn w:val="Normal"/>
    <w:uiPriority w:val="1"/>
    <w:qFormat/>
    <w:rsid w:val="00D929EF"/>
    <w:pPr>
      <w:ind w:firstLine="720"/>
    </w:pPr>
  </w:style>
  <w:style w:type="paragraph" w:styleId="BTFI2BodyTextFirstIndent10" w:customStyle="1">
    <w:name w:val="BTFI2 Body Text First Indent 1.0"/>
    <w:basedOn w:val="Normal"/>
    <w:uiPriority w:val="1"/>
    <w:qFormat/>
    <w:rsid w:val="00D929EF"/>
    <w:pPr>
      <w:ind w:firstLine="1440"/>
    </w:pPr>
  </w:style>
  <w:style w:type="paragraph" w:styleId="BTIBodyTextIndent5" w:customStyle="1">
    <w:name w:val="BTI Body Text Indent .5"/>
    <w:basedOn w:val="Normal"/>
    <w:uiPriority w:val="1"/>
    <w:qFormat/>
    <w:rsid w:val="00D929EF"/>
    <w:pPr>
      <w:ind w:left="720"/>
    </w:pPr>
  </w:style>
  <w:style w:type="paragraph" w:styleId="BTI2BodyTextHangIndent" w:customStyle="1">
    <w:name w:val="BTI2 Body Text Hang Indent"/>
    <w:basedOn w:val="Normal"/>
    <w:uiPriority w:val="1"/>
    <w:qFormat/>
    <w:rsid w:val="00D929EF"/>
    <w:pPr>
      <w:ind w:left="720" w:hanging="720"/>
    </w:pPr>
  </w:style>
  <w:style w:type="paragraph" w:styleId="BTI4BodyTextIndent15" w:customStyle="1">
    <w:name w:val="BTI4 Body Text Indent 1.5"/>
    <w:basedOn w:val="Normal"/>
    <w:uiPriority w:val="1"/>
    <w:qFormat/>
    <w:rsid w:val="00D929EF"/>
    <w:pPr>
      <w:ind w:left="2160"/>
    </w:pPr>
  </w:style>
  <w:style w:type="paragraph" w:styleId="BTI5BodyTextIndent20" w:customStyle="1">
    <w:name w:val="BTI5 Body Text Indent 2.0"/>
    <w:basedOn w:val="Normal"/>
    <w:uiPriority w:val="1"/>
    <w:qFormat/>
    <w:rsid w:val="00D929EF"/>
    <w:pPr>
      <w:ind w:left="2880"/>
    </w:pPr>
  </w:style>
  <w:style w:type="paragraph" w:styleId="BTNSBodyTextNoSpace" w:customStyle="1">
    <w:name w:val="BTNS Body Text No Space"/>
    <w:basedOn w:val="Normal"/>
    <w:uiPriority w:val="1"/>
    <w:qFormat/>
    <w:rsid w:val="00D929EF"/>
  </w:style>
  <w:style w:type="paragraph" w:styleId="CSCaseStyle" w:customStyle="1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</w:pPr>
  </w:style>
  <w:style w:type="paragraph" w:styleId="CTCenteredText" w:customStyle="1">
    <w:name w:val="CT Centered Text"/>
    <w:basedOn w:val="Normal"/>
    <w:uiPriority w:val="1"/>
    <w:qFormat/>
    <w:rsid w:val="00D929EF"/>
    <w:pPr>
      <w:jc w:val="center"/>
    </w:pPr>
  </w:style>
  <w:style w:type="character" w:styleId="Heading1Char" w:customStyle="1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styleId="LBListBullet" w:customStyle="1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styleId="Heading2Char" w:customStyle="1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styleId="Heading3Char" w:customStyle="1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styleId="Heading5Char" w:customStyle="1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styleId="Heading6Char" w:customStyle="1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styleId="Heading7Char" w:customStyle="1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styleId="Heading8Char" w:customStyle="1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styleId="Heading9Char" w:customStyle="1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styleId="LN1ListNumber" w:customStyle="1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styleId="LN2ListNumber" w:customStyle="1">
    <w:name w:val="LN2 ListNumber"/>
    <w:basedOn w:val="Normal"/>
    <w:uiPriority w:val="1"/>
    <w:qFormat/>
    <w:rsid w:val="00D929EF"/>
    <w:pPr>
      <w:numPr>
        <w:numId w:val="6"/>
      </w:numPr>
    </w:pPr>
  </w:style>
  <w:style w:type="paragraph" w:styleId="Q5BodyTextQuote5" w:customStyle="1">
    <w:name w:val="Q.5 Body Text Quote.5"/>
    <w:basedOn w:val="Normal"/>
    <w:uiPriority w:val="1"/>
    <w:qFormat/>
    <w:rsid w:val="00D929EF"/>
    <w:pPr>
      <w:ind w:left="720" w:right="720"/>
    </w:pPr>
  </w:style>
  <w:style w:type="paragraph" w:styleId="Q1BodyTextQuote1" w:customStyle="1">
    <w:name w:val="Q1 Body Text Quote 1"/>
    <w:basedOn w:val="Normal"/>
    <w:uiPriority w:val="1"/>
    <w:qFormat/>
    <w:rsid w:val="00D929EF"/>
    <w:pPr>
      <w:ind w:left="1440" w:right="1440"/>
    </w:pPr>
  </w:style>
  <w:style w:type="paragraph" w:styleId="SBBSignatureBlockBoth" w:customStyle="1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</w:pPr>
  </w:style>
  <w:style w:type="paragraph" w:styleId="SBLSignatureBlockLeft" w:customStyle="1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</w:pPr>
  </w:style>
  <w:style w:type="paragraph" w:styleId="SBRSignatureBlockRight" w:customStyle="1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ind w:left="4320"/>
    </w:pPr>
  </w:style>
  <w:style w:type="paragraph" w:styleId="SBTSignatureBlockText" w:customStyle="1">
    <w:name w:val="SBT Signature Block Text"/>
    <w:basedOn w:val="Normal"/>
    <w:uiPriority w:val="1"/>
    <w:qFormat/>
    <w:rsid w:val="002452B0"/>
    <w:pPr>
      <w:tabs>
        <w:tab w:val="left" w:pos="1080"/>
        <w:tab w:val="left" w:pos="6120"/>
      </w:tabs>
    </w:pPr>
  </w:style>
  <w:style w:type="paragraph" w:styleId="SUSubtitle" w:customStyle="1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styleId="TBCTitleBoldCenter" w:customStyle="1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styleId="TBCUTitleBoldCenterUnderline" w:customStyle="1">
    <w:name w:val="TBCU Title Bold Center Underline"/>
    <w:basedOn w:val="Normal"/>
    <w:next w:val="Normal"/>
    <w:uiPriority w:val="2"/>
    <w:qFormat/>
    <w:rsid w:val="00D929EF"/>
    <w:pPr>
      <w:keepNext/>
      <w:jc w:val="center"/>
      <w:outlineLvl w:val="0"/>
    </w:pPr>
    <w:rPr>
      <w:b/>
      <w:u w:val="single"/>
    </w:rPr>
  </w:style>
  <w:style w:type="paragraph" w:styleId="TITitle" w:customStyle="1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semiHidden/>
    <w:rsid w:val="00D929E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0C6555"/>
  </w:style>
  <w:style w:type="paragraph" w:styleId="Footer">
    <w:name w:val="footer"/>
    <w:basedOn w:val="Normal"/>
    <w:link w:val="FooterChar"/>
    <w:uiPriority w:val="99"/>
    <w:rsid w:val="00D929E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C6555"/>
  </w:style>
  <w:style w:type="character" w:styleId="DocID" w:customStyle="1">
    <w:name w:val="DocID"/>
    <w:basedOn w:val="DefaultParagraphFont"/>
    <w:uiPriority w:val="99"/>
    <w:semiHidden/>
    <w:rsid w:val="004C6909"/>
    <w:rPr>
      <w:sz w:val="18"/>
    </w:rPr>
  </w:style>
  <w:style w:type="paragraph" w:styleId="BTI3BodyTextIndent10" w:customStyle="1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29EF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D929E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hAnsiTheme="majorHAnsi" w:eastAsiaTheme="majorEastAsia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rPr>
      <w:rFonts w:asciiTheme="majorHAnsi" w:hAnsiTheme="majorHAnsi" w:eastAsiaTheme="majorEastAsia" w:cstheme="majorBidi"/>
      <w:sz w:val="20"/>
      <w:szCs w:val="20"/>
    </w:rPr>
  </w:style>
  <w:style w:type="character" w:styleId="FootnoteReference">
    <w:name w:val="footnote reference"/>
    <w:basedOn w:val="DefaultParagraphFont"/>
    <w:uiPriority w:val="1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ind w:left="240" w:hanging="240"/>
    </w:pPr>
  </w:style>
  <w:style w:type="paragraph" w:styleId="MacroText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sid w:val="000C65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ind w:left="4320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basedOn w:val="Normal"/>
    <w:link w:val="SignatureChar"/>
    <w:uiPriority w:val="99"/>
    <w:semiHidden/>
    <w:unhideWhenUsed/>
    <w:rsid w:val="00D929EF"/>
    <w:pPr>
      <w:ind w:left="4320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D929EF"/>
  </w:style>
  <w:style w:type="paragraph" w:styleId="BodyText">
    <w:name w:val="Body Text"/>
    <w:aliases w:val="bt"/>
    <w:basedOn w:val="Normal"/>
    <w:link w:val="BodyTextChar"/>
    <w:unhideWhenUsed/>
    <w:qFormat/>
    <w:rsid w:val="00D929EF"/>
    <w:pPr>
      <w:spacing w:after="120"/>
    </w:pPr>
  </w:style>
  <w:style w:type="character" w:styleId="BodyTextChar" w:customStyle="1">
    <w:name w:val="Body Text Char"/>
    <w:aliases w:val="bt Char"/>
    <w:basedOn w:val="DefaultParagraphFont"/>
    <w:link w:val="BodyText"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Theme="majorHAnsi" w:hAnsiTheme="majorHAnsi" w:eastAsiaTheme="majorEastAsia" w:cstheme="majorBidi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D929EF"/>
    <w:rPr>
      <w:rFonts w:asciiTheme="majorHAnsi" w:hAnsiTheme="majorHAnsi" w:eastAsiaTheme="majorEastAsia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hAnsiTheme="minorHAnsi" w:eastAsiaTheme="minorEastAsia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semiHidden/>
    <w:rsid w:val="000C6555"/>
    <w:rPr>
      <w:rFonts w:asciiTheme="minorHAnsi" w:hAnsiTheme="minorHAnsi" w:eastAsiaTheme="minorEastAsia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styleId="DateChar" w:customStyle="1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99"/>
    <w:semiHidden/>
    <w:unhideWhenUsed/>
    <w:rsid w:val="00D929EF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asciiTheme="minorHAnsi" w:hAnsiTheme="minorHAnsi" w:eastAsiaTheme="minorEastAsia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rPr>
      <w:rFonts w:ascii="Consolas" w:hAnsi="Consolas" w:cs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/>
      <w:outlineLvl w:val="9"/>
    </w:pPr>
    <w:rPr>
      <w:rFonts w:asciiTheme="majorHAnsi" w:hAnsiTheme="majorHAnsi"/>
      <w:color w:val="2E74B5" w:themeColor="accent1" w:themeShade="BF"/>
      <w:sz w:val="32"/>
    </w:rPr>
  </w:style>
  <w:style w:type="table" w:styleId="SECBlueEven" w:customStyle="1">
    <w:name w:val="SEC Blue Even"/>
    <w:basedOn w:val="TableNormal"/>
    <w:uiPriority w:val="99"/>
    <w:rsid w:val="00701888"/>
    <w:pPr>
      <w:spacing w:after="0"/>
    </w:pPr>
    <w:rPr>
      <w:sz w:val="20"/>
      <w:szCs w:val="20"/>
    </w:rPr>
    <w:tblPr>
      <w:tblStyleRowBandSize w:val="1"/>
    </w:tblPr>
    <w:tblStylePr w:type="band2Horz">
      <w:tblPr/>
      <w:tcPr>
        <w:shd w:val="clear" w:color="auto" w:fill="CCEEFF"/>
      </w:tcPr>
    </w:tblStylePr>
  </w:style>
  <w:style w:type="table" w:styleId="SECBlueOdd" w:customStyle="1">
    <w:name w:val="SEC Blue Odd"/>
    <w:basedOn w:val="TableNormal"/>
    <w:uiPriority w:val="99"/>
    <w:rsid w:val="00701888"/>
    <w:pPr>
      <w:spacing w:after="0"/>
    </w:pPr>
    <w:rPr>
      <w:sz w:val="20"/>
      <w:szCs w:val="20"/>
    </w:rPr>
    <w:tblPr>
      <w:tblStyleRowBandSize w:val="1"/>
    </w:tblPr>
    <w:tblStylePr w:type="band1Horz">
      <w:tblPr/>
      <w:tcPr>
        <w:shd w:val="clear" w:color="auto" w:fill="CCEEFF"/>
      </w:tcPr>
    </w:tblStylePr>
  </w:style>
  <w:style w:type="character" w:styleId="OrderTitleChar" w:customStyle="1">
    <w:name w:val="Order Title Char"/>
    <w:basedOn w:val="DefaultParagraphFont"/>
    <w:link w:val="OrderTitle"/>
    <w:locked/>
    <w:rsid w:val="00327DAB"/>
    <w:rPr>
      <w:rFonts w:eastAsia="Times New Roman" w:cs="Times New Roman"/>
      <w:b/>
      <w:caps/>
      <w:spacing w:val="-10"/>
      <w:kern w:val="28"/>
      <w:lang w:eastAsia="zh-TW"/>
    </w:rPr>
  </w:style>
  <w:style w:type="paragraph" w:styleId="OrderTitle" w:customStyle="1">
    <w:name w:val="Order Title"/>
    <w:basedOn w:val="Title"/>
    <w:link w:val="OrderTitleChar"/>
    <w:qFormat/>
    <w:rsid w:val="00327DAB"/>
    <w:pPr>
      <w:snapToGrid w:val="0"/>
      <w:spacing w:before="480" w:after="480"/>
      <w:contextualSpacing w:val="0"/>
      <w:jc w:val="center"/>
    </w:pPr>
    <w:rPr>
      <w:rFonts w:ascii="Times New Roman" w:hAnsi="Times New Roman" w:eastAsia="Times New Roman" w:cs="Times New Roman"/>
      <w:b/>
      <w:caps/>
      <w:sz w:val="24"/>
      <w:szCs w:val="24"/>
      <w:lang w:eastAsia="zh-TW"/>
    </w:rPr>
  </w:style>
  <w:style w:type="character" w:styleId="StandardL1Char" w:customStyle="1">
    <w:name w:val="Standard_L1 Char"/>
    <w:basedOn w:val="DefaultParagraphFont"/>
    <w:link w:val="StandardL1"/>
    <w:locked/>
    <w:rsid w:val="00327DAB"/>
    <w:rPr>
      <w:rFonts w:eastAsia="Times New Roman" w:cs="Times New Roman"/>
      <w:szCs w:val="20"/>
    </w:rPr>
  </w:style>
  <w:style w:type="paragraph" w:styleId="StandardL1" w:customStyle="1">
    <w:name w:val="Standard_L1"/>
    <w:basedOn w:val="Normal"/>
    <w:link w:val="StandardL1Char"/>
    <w:rsid w:val="00327DAB"/>
    <w:pPr>
      <w:numPr>
        <w:numId w:val="7"/>
      </w:numPr>
      <w:spacing w:after="240"/>
      <w:jc w:val="both"/>
      <w:outlineLvl w:val="0"/>
    </w:pPr>
    <w:rPr>
      <w:rFonts w:eastAsia="Times New Roman" w:cs="Times New Roman"/>
      <w:szCs w:val="20"/>
    </w:rPr>
  </w:style>
  <w:style w:type="paragraph" w:styleId="StandardL2" w:customStyle="1">
    <w:name w:val="Standard_L2"/>
    <w:basedOn w:val="StandardL1"/>
    <w:rsid w:val="00327DAB"/>
    <w:pPr>
      <w:numPr>
        <w:ilvl w:val="1"/>
      </w:numPr>
      <w:tabs>
        <w:tab w:val="clear" w:pos="4320"/>
        <w:tab w:val="num" w:pos="360"/>
      </w:tabs>
      <w:ind w:left="1440" w:hanging="360"/>
      <w:outlineLvl w:val="1"/>
    </w:pPr>
  </w:style>
  <w:style w:type="paragraph" w:styleId="StandardL3" w:customStyle="1">
    <w:name w:val="Standard_L3"/>
    <w:basedOn w:val="StandardL2"/>
    <w:rsid w:val="00327DAB"/>
    <w:pPr>
      <w:numPr>
        <w:ilvl w:val="2"/>
      </w:numPr>
      <w:tabs>
        <w:tab w:val="clear" w:pos="5040"/>
        <w:tab w:val="num" w:pos="360"/>
      </w:tabs>
      <w:ind w:left="2880" w:hanging="360"/>
    </w:pPr>
  </w:style>
  <w:style w:type="paragraph" w:styleId="StandardL4" w:customStyle="1">
    <w:name w:val="Standard_L4"/>
    <w:basedOn w:val="StandardL3"/>
    <w:rsid w:val="00327DAB"/>
    <w:pPr>
      <w:numPr>
        <w:ilvl w:val="3"/>
      </w:numPr>
      <w:tabs>
        <w:tab w:val="clear" w:pos="5760"/>
        <w:tab w:val="num" w:pos="360"/>
      </w:tabs>
      <w:ind w:left="2880" w:hanging="360"/>
    </w:pPr>
  </w:style>
  <w:style w:type="paragraph" w:styleId="StandardL5" w:customStyle="1">
    <w:name w:val="Standard_L5"/>
    <w:basedOn w:val="StandardL4"/>
    <w:rsid w:val="00327DAB"/>
    <w:pPr>
      <w:numPr>
        <w:ilvl w:val="4"/>
      </w:numPr>
      <w:tabs>
        <w:tab w:val="clear" w:pos="6480"/>
        <w:tab w:val="num" w:pos="360"/>
      </w:tabs>
      <w:ind w:left="3600" w:hanging="360"/>
      <w:outlineLvl w:val="4"/>
    </w:pPr>
  </w:style>
  <w:style w:type="paragraph" w:styleId="StandardL6" w:customStyle="1">
    <w:name w:val="Standard_L6"/>
    <w:basedOn w:val="StandardL5"/>
    <w:rsid w:val="00327DAB"/>
    <w:pPr>
      <w:numPr>
        <w:ilvl w:val="5"/>
      </w:numPr>
      <w:tabs>
        <w:tab w:val="clear" w:pos="7200"/>
        <w:tab w:val="num" w:pos="360"/>
      </w:tabs>
      <w:ind w:left="5040" w:hanging="360"/>
    </w:pPr>
  </w:style>
  <w:style w:type="paragraph" w:styleId="StandardL7" w:customStyle="1">
    <w:name w:val="Standard_L7"/>
    <w:basedOn w:val="StandardL6"/>
    <w:rsid w:val="00327DAB"/>
    <w:pPr>
      <w:numPr>
        <w:ilvl w:val="6"/>
      </w:numPr>
      <w:tabs>
        <w:tab w:val="clear" w:pos="7920"/>
        <w:tab w:val="num" w:pos="360"/>
      </w:tabs>
      <w:ind w:left="5040" w:hanging="360"/>
      <w:outlineLvl w:val="6"/>
    </w:pPr>
  </w:style>
  <w:style w:type="paragraph" w:styleId="StandardL8" w:customStyle="1">
    <w:name w:val="Standard_L8"/>
    <w:basedOn w:val="StandardL7"/>
    <w:rsid w:val="00327DAB"/>
    <w:pPr>
      <w:numPr>
        <w:ilvl w:val="7"/>
      </w:numPr>
      <w:tabs>
        <w:tab w:val="clear" w:pos="8640"/>
        <w:tab w:val="num" w:pos="360"/>
      </w:tabs>
      <w:ind w:left="5760" w:hanging="360"/>
      <w:outlineLvl w:val="7"/>
    </w:pPr>
  </w:style>
  <w:style w:type="paragraph" w:styleId="StandardL9" w:customStyle="1">
    <w:name w:val="Standard_L9"/>
    <w:basedOn w:val="StandardL8"/>
    <w:rsid w:val="00327DAB"/>
    <w:pPr>
      <w:numPr>
        <w:ilvl w:val="8"/>
      </w:numPr>
      <w:tabs>
        <w:tab w:val="clear" w:pos="9360"/>
        <w:tab w:val="num" w:pos="360"/>
      </w:tabs>
      <w:ind w:left="6480" w:hanging="360"/>
      <w:outlineLvl w:val="8"/>
    </w:pPr>
  </w:style>
  <w:style w:type="table" w:styleId="TableGrid11" w:customStyle="1">
    <w:name w:val="Table Grid11"/>
    <w:basedOn w:val="TableNormal"/>
    <w:uiPriority w:val="59"/>
    <w:rsid w:val="00327DAB"/>
    <w:pPr>
      <w:spacing w:after="0"/>
    </w:pPr>
    <w:rPr>
      <w:rFonts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52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16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0" /><Relationship Type="http://schemas.openxmlformats.org/officeDocument/2006/relationships/settings" Target="setting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1900-01-01T06:00:00.0000000Z</lastPrinted>
  <dcterms:created xsi:type="dcterms:W3CDTF">1900-01-01T06:00:00.0000000Z</dcterms:created>
  <dcterms:modified xsi:type="dcterms:W3CDTF">1900-01-01T06:00:00.0000000Z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